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0EEEBE48" w14:textId="77777777" w:rsidR="00CC6E68" w:rsidRPr="004D5F78" w:rsidRDefault="00CC6E68" w:rsidP="00CC6E68">
      <w:pPr>
        <w:jc w:val="both"/>
        <w:rPr>
          <w:rFonts w:cs="Arial"/>
          <w:b/>
          <w:bCs/>
          <w:snapToGrid w:val="0"/>
          <w:szCs w:val="22"/>
        </w:rPr>
      </w:pPr>
      <w:r w:rsidRPr="004D5F78">
        <w:rPr>
          <w:rFonts w:cs="Arial"/>
          <w:b/>
          <w:bCs/>
          <w:snapToGrid w:val="0"/>
          <w:szCs w:val="22"/>
        </w:rPr>
        <w:t>Objednatelem</w:t>
      </w:r>
    </w:p>
    <w:p w14:paraId="780692B1" w14:textId="77777777" w:rsidR="00CC6E68" w:rsidRDefault="00CC6E68" w:rsidP="00CC6E68">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F367588" w14:textId="77777777" w:rsidR="00CC6E68" w:rsidRPr="002841F0" w:rsidRDefault="00CC6E68" w:rsidP="00CC6E68">
      <w:pPr>
        <w:overflowPunct w:val="0"/>
        <w:autoSpaceDE w:val="0"/>
        <w:autoSpaceDN w:val="0"/>
        <w:adjustRightInd w:val="0"/>
        <w:spacing w:after="0" w:line="276" w:lineRule="auto"/>
        <w:ind w:left="360"/>
        <w:jc w:val="both"/>
        <w:textAlignment w:val="baseline"/>
        <w:rPr>
          <w:rFonts w:cs="Arial"/>
          <w:bCs/>
          <w:szCs w:val="22"/>
        </w:rPr>
      </w:pPr>
      <w:r w:rsidRPr="002841F0">
        <w:rPr>
          <w:rFonts w:cs="Arial"/>
          <w:bCs/>
          <w:szCs w:val="22"/>
        </w:rPr>
        <w:t>Sídlo: Husinecká 1024/</w:t>
      </w:r>
      <w:proofErr w:type="gramStart"/>
      <w:r w:rsidRPr="002841F0">
        <w:rPr>
          <w:rFonts w:cs="Arial"/>
          <w:bCs/>
          <w:szCs w:val="22"/>
        </w:rPr>
        <w:t>11a</w:t>
      </w:r>
      <w:proofErr w:type="gramEnd"/>
      <w:r w:rsidRPr="002841F0">
        <w:rPr>
          <w:rFonts w:cs="Arial"/>
          <w:bCs/>
          <w:szCs w:val="22"/>
        </w:rPr>
        <w:t>, 130 00 Praha 3</w:t>
      </w:r>
    </w:p>
    <w:p w14:paraId="5747A52B" w14:textId="77777777" w:rsidR="00CC6E68" w:rsidRDefault="00CC6E68" w:rsidP="00CC6E68">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Pr>
          <w:rFonts w:cs="Arial"/>
          <w:b/>
          <w:szCs w:val="22"/>
        </w:rPr>
        <w:t xml:space="preserve"> pro Liberecký kraj</w:t>
      </w:r>
    </w:p>
    <w:p w14:paraId="72983663" w14:textId="77777777" w:rsidR="00CC6E68" w:rsidRDefault="00CC6E68" w:rsidP="00CC6E68">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4D5F78">
        <w:rPr>
          <w:rFonts w:cs="Arial"/>
          <w:b/>
          <w:szCs w:val="22"/>
        </w:rPr>
        <w:t xml:space="preserve">Pobočka </w:t>
      </w:r>
      <w:r>
        <w:rPr>
          <w:rFonts w:cs="Arial"/>
          <w:b/>
          <w:szCs w:val="22"/>
        </w:rPr>
        <w:t>Liberec</w:t>
      </w:r>
    </w:p>
    <w:p w14:paraId="546B7703" w14:textId="77777777" w:rsidR="00CC6E68" w:rsidRPr="002841F0" w:rsidRDefault="00CC6E68" w:rsidP="00CC6E68">
      <w:pPr>
        <w:tabs>
          <w:tab w:val="left" w:pos="1560"/>
        </w:tabs>
        <w:overflowPunct w:val="0"/>
        <w:autoSpaceDE w:val="0"/>
        <w:autoSpaceDN w:val="0"/>
        <w:adjustRightInd w:val="0"/>
        <w:spacing w:line="276" w:lineRule="auto"/>
        <w:jc w:val="both"/>
        <w:textAlignment w:val="baseline"/>
        <w:rPr>
          <w:rFonts w:cs="Arial"/>
          <w:szCs w:val="22"/>
        </w:rPr>
      </w:pPr>
      <w:r w:rsidRPr="002841F0">
        <w:rPr>
          <w:rFonts w:cs="Arial"/>
          <w:szCs w:val="22"/>
        </w:rPr>
        <w:t xml:space="preserve">      Adresa: U Nisy 745/</w:t>
      </w:r>
      <w:proofErr w:type="gramStart"/>
      <w:r w:rsidRPr="002841F0">
        <w:rPr>
          <w:rFonts w:cs="Arial"/>
          <w:szCs w:val="22"/>
        </w:rPr>
        <w:t>6a</w:t>
      </w:r>
      <w:proofErr w:type="gramEnd"/>
      <w:r w:rsidRPr="002841F0">
        <w:rPr>
          <w:rFonts w:cs="Arial"/>
          <w:szCs w:val="22"/>
        </w:rPr>
        <w:t>, 460 57 Liberec</w:t>
      </w:r>
    </w:p>
    <w:p w14:paraId="39C1A274" w14:textId="77777777" w:rsidR="00CC6E68" w:rsidRDefault="00CC6E68" w:rsidP="00CC6E68">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Pr>
          <w:rFonts w:eastAsia="Lucida Sans Unicode" w:cs="Arial"/>
          <w:szCs w:val="22"/>
        </w:rPr>
        <w:t>Ing. Tomášem Mačkem,</w:t>
      </w:r>
    </w:p>
    <w:p w14:paraId="5482195A" w14:textId="77777777" w:rsidR="00CC6E68" w:rsidRPr="004D5F78" w:rsidRDefault="00CC6E68" w:rsidP="00CC6E68">
      <w:pPr>
        <w:widowControl w:val="0"/>
        <w:tabs>
          <w:tab w:val="left" w:pos="4536"/>
        </w:tabs>
        <w:suppressAutoHyphens/>
        <w:spacing w:after="60" w:line="240" w:lineRule="auto"/>
        <w:ind w:left="4536" w:hanging="4536"/>
        <w:rPr>
          <w:rFonts w:eastAsia="Lucida Sans Unicode" w:cs="Arial"/>
          <w:color w:val="FF0000"/>
          <w:szCs w:val="22"/>
        </w:rPr>
      </w:pPr>
      <w:r>
        <w:rPr>
          <w:rFonts w:eastAsia="Lucida Sans Unicode" w:cs="Arial"/>
          <w:szCs w:val="22"/>
        </w:rPr>
        <w:tab/>
        <w:t>vedoucím Pobočky Liberec</w:t>
      </w:r>
    </w:p>
    <w:p w14:paraId="1E136A0A" w14:textId="77777777" w:rsidR="00CC6E68" w:rsidRPr="004D5F78" w:rsidRDefault="00CC6E68" w:rsidP="00CC6E68">
      <w:pPr>
        <w:widowControl w:val="0"/>
        <w:tabs>
          <w:tab w:val="left" w:pos="4536"/>
        </w:tabs>
        <w:suppressAutoHyphens/>
        <w:spacing w:after="60" w:line="240" w:lineRule="auto"/>
        <w:ind w:left="4536" w:hanging="4536"/>
        <w:rPr>
          <w:rFonts w:eastAsia="Lucida Sans Unicode" w:cs="Arial"/>
          <w:szCs w:val="22"/>
        </w:rPr>
      </w:pPr>
      <w:r w:rsidRPr="004D5F78">
        <w:rPr>
          <w:rFonts w:eastAsia="Lucida Sans Unicode" w:cs="Arial"/>
          <w:szCs w:val="22"/>
        </w:rPr>
        <w:t xml:space="preserve">       ve smluvních záležitostech</w:t>
      </w:r>
      <w:r>
        <w:rPr>
          <w:rFonts w:eastAsia="Lucida Sans Unicode" w:cs="Arial"/>
          <w:szCs w:val="22"/>
        </w:rPr>
        <w:t xml:space="preserve"> oprávněn</w:t>
      </w:r>
      <w:r w:rsidRPr="004D5F78">
        <w:rPr>
          <w:rFonts w:eastAsia="Lucida Sans Unicode" w:cs="Arial"/>
          <w:szCs w:val="22"/>
        </w:rPr>
        <w:t>:</w:t>
      </w:r>
      <w:r w:rsidRPr="004D5F78">
        <w:rPr>
          <w:rFonts w:eastAsia="Lucida Sans Unicode" w:cs="Arial"/>
          <w:szCs w:val="22"/>
        </w:rPr>
        <w:tab/>
      </w:r>
      <w:r>
        <w:rPr>
          <w:rFonts w:eastAsia="Lucida Sans Unicode" w:cs="Arial"/>
          <w:szCs w:val="22"/>
        </w:rPr>
        <w:t>Ing. Tomáš Maček, vedoucí Pobočky Liberec</w:t>
      </w:r>
    </w:p>
    <w:p w14:paraId="69D7BB07" w14:textId="77777777" w:rsidR="00CC6E68" w:rsidRPr="004D5F78" w:rsidRDefault="00CC6E68" w:rsidP="00CC6E68">
      <w:pPr>
        <w:widowControl w:val="0"/>
        <w:tabs>
          <w:tab w:val="left" w:pos="4536"/>
        </w:tabs>
        <w:suppressAutoHyphens/>
        <w:spacing w:after="6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w:t>
      </w:r>
      <w:r>
        <w:rPr>
          <w:rFonts w:eastAsia="Lucida Sans Unicode" w:cs="Arial"/>
          <w:snapToGrid w:val="0"/>
          <w:szCs w:val="22"/>
        </w:rPr>
        <w:t xml:space="preserve"> oprávněn</w:t>
      </w:r>
      <w:r w:rsidRPr="004D5F78">
        <w:rPr>
          <w:rFonts w:eastAsia="Lucida Sans Unicode" w:cs="Arial"/>
          <w:snapToGrid w:val="0"/>
          <w:szCs w:val="22"/>
        </w:rPr>
        <w:t>:</w:t>
      </w:r>
      <w:r w:rsidRPr="004D5F78">
        <w:rPr>
          <w:rFonts w:eastAsia="Lucida Sans Unicode" w:cs="Arial"/>
          <w:snapToGrid w:val="0"/>
          <w:szCs w:val="22"/>
        </w:rPr>
        <w:tab/>
      </w:r>
      <w:r>
        <w:rPr>
          <w:rFonts w:eastAsia="Lucida Sans Unicode" w:cs="Arial"/>
          <w:snapToGrid w:val="0"/>
          <w:szCs w:val="22"/>
        </w:rPr>
        <w:t>Ing. Petr Skalický</w:t>
      </w:r>
    </w:p>
    <w:p w14:paraId="142EDAA1" w14:textId="1FD1BFB8" w:rsidR="00CC6E68" w:rsidRPr="004D5F78" w:rsidRDefault="00CC6E68" w:rsidP="00CC6E68">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Pr>
          <w:rFonts w:eastAsia="Lucida Sans Unicode" w:cs="Arial"/>
          <w:szCs w:val="22"/>
        </w:rPr>
        <w:t> </w:t>
      </w:r>
      <w:r w:rsidR="00C87D28">
        <w:rPr>
          <w:rFonts w:eastAsia="Lucida Sans Unicode" w:cs="Arial"/>
          <w:szCs w:val="22"/>
        </w:rPr>
        <w:t>725548197</w:t>
      </w:r>
    </w:p>
    <w:p w14:paraId="64861938" w14:textId="77777777" w:rsidR="00CC6E68" w:rsidRPr="004D5F78" w:rsidRDefault="00CC6E68" w:rsidP="00CC6E68">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Pr="00F01889">
        <w:rPr>
          <w:rFonts w:eastAsia="Lucida Sans Unicode" w:cs="Arial"/>
          <w:szCs w:val="22"/>
        </w:rPr>
        <w:t>@s</w:t>
      </w:r>
      <w:r w:rsidRPr="004D5F78">
        <w:rPr>
          <w:rFonts w:eastAsia="Lucida Sans Unicode" w:cs="Arial"/>
          <w:szCs w:val="22"/>
        </w:rPr>
        <w:t>pucr.cz</w:t>
      </w:r>
    </w:p>
    <w:p w14:paraId="0782652B" w14:textId="77777777" w:rsidR="00CC6E68" w:rsidRPr="004D5F78" w:rsidRDefault="00CC6E68" w:rsidP="00CC6E68">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06FE4B6" w14:textId="77777777" w:rsidR="00CC6E68" w:rsidRPr="004D5F78" w:rsidRDefault="00CC6E68" w:rsidP="00CC6E68">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ČNB</w:t>
      </w:r>
    </w:p>
    <w:p w14:paraId="4FA5D589" w14:textId="77777777" w:rsidR="00CC6E68" w:rsidRPr="004D5F78" w:rsidRDefault="00CC6E68" w:rsidP="00CC6E68">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27FDC42F" w14:textId="77777777" w:rsidR="00CC6E68" w:rsidRPr="004D5F78" w:rsidRDefault="00CC6E68" w:rsidP="00CC6E68">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01312774</w:t>
      </w:r>
    </w:p>
    <w:p w14:paraId="4D5C09A1" w14:textId="77777777" w:rsidR="00CC6E68" w:rsidRPr="004D5F78" w:rsidRDefault="00CC6E68" w:rsidP="00CC6E68">
      <w:pPr>
        <w:widowControl w:val="0"/>
        <w:tabs>
          <w:tab w:val="left" w:pos="4536"/>
        </w:tabs>
        <w:suppressAutoHyphens/>
        <w:spacing w:line="276"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5EEA3510" w14:textId="77777777" w:rsidR="00CC6E68" w:rsidRPr="004D5F78" w:rsidRDefault="00CC6E68" w:rsidP="00CC6E68">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3BB997AC" w14:textId="2B5FBE46" w:rsidR="00126736" w:rsidRDefault="004D5F78" w:rsidP="00517173">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13134F2F" w14:textId="77777777" w:rsidR="00517173" w:rsidRPr="00517173" w:rsidRDefault="00517173" w:rsidP="00517173">
      <w:pPr>
        <w:tabs>
          <w:tab w:val="left" w:pos="2127"/>
          <w:tab w:val="left" w:pos="4800"/>
        </w:tabs>
        <w:spacing w:after="0" w:line="240" w:lineRule="auto"/>
        <w:ind w:hanging="360"/>
        <w:jc w:val="both"/>
        <w:rPr>
          <w:rFonts w:cs="Arial"/>
          <w:snapToGrid w:val="0"/>
          <w:szCs w:val="22"/>
        </w:rPr>
      </w:pPr>
    </w:p>
    <w:p w14:paraId="59FC70AF" w14:textId="2E04A18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CC6E68">
        <w:rPr>
          <w:rFonts w:cs="Arial"/>
          <w:b/>
          <w:spacing w:val="8"/>
          <w:szCs w:val="22"/>
        </w:rPr>
        <w:t>„</w:t>
      </w:r>
      <w:r w:rsidR="00CC6E68" w:rsidRPr="00CC6E68">
        <w:rPr>
          <w:b/>
        </w:rPr>
        <w:t>Zpracování PD pro ochranné hrázky OH3, OH5, nádrž VN1 a cestu VC7 v </w:t>
      </w:r>
      <w:proofErr w:type="spellStart"/>
      <w:r w:rsidR="00CC6E68" w:rsidRPr="00CC6E68">
        <w:rPr>
          <w:b/>
        </w:rPr>
        <w:t>k.ú</w:t>
      </w:r>
      <w:proofErr w:type="spellEnd"/>
      <w:r w:rsidR="00CC6E68" w:rsidRPr="00CC6E68">
        <w:rPr>
          <w:b/>
        </w:rPr>
        <w:t xml:space="preserve">. Boleslav a </w:t>
      </w:r>
      <w:proofErr w:type="spellStart"/>
      <w:r w:rsidR="00CC6E68" w:rsidRPr="00CC6E68">
        <w:rPr>
          <w:b/>
        </w:rPr>
        <w:t>k.ú</w:t>
      </w:r>
      <w:proofErr w:type="spellEnd"/>
      <w:r w:rsidR="00CC6E68" w:rsidRPr="00CC6E68">
        <w:rPr>
          <w:b/>
        </w:rPr>
        <w:t>. Černousy</w:t>
      </w:r>
      <w:r w:rsidR="008A52EE" w:rsidRPr="00CC6E68">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C935DF1"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CC6E68">
        <w:rPr>
          <w:rFonts w:ascii="Arial" w:hAnsi="Arial" w:cs="Arial"/>
          <w:bCs/>
          <w:snapToGrid w:val="0"/>
          <w:szCs w:val="22"/>
          <w:u w:val="none"/>
          <w:lang w:val="en-US"/>
        </w:rPr>
        <w:t>Ochranné</w:t>
      </w:r>
      <w:proofErr w:type="spellEnd"/>
      <w:r w:rsidR="00CC6E68">
        <w:rPr>
          <w:rFonts w:ascii="Arial" w:hAnsi="Arial" w:cs="Arial"/>
          <w:bCs/>
          <w:snapToGrid w:val="0"/>
          <w:szCs w:val="22"/>
          <w:u w:val="none"/>
          <w:lang w:val="en-US"/>
        </w:rPr>
        <w:t xml:space="preserve"> </w:t>
      </w:r>
      <w:proofErr w:type="spellStart"/>
      <w:r w:rsidR="00CC6E68">
        <w:rPr>
          <w:rFonts w:ascii="Arial" w:hAnsi="Arial" w:cs="Arial"/>
          <w:bCs/>
          <w:snapToGrid w:val="0"/>
          <w:szCs w:val="22"/>
          <w:u w:val="none"/>
          <w:lang w:val="en-US"/>
        </w:rPr>
        <w:t>hrázky</w:t>
      </w:r>
      <w:proofErr w:type="spellEnd"/>
      <w:r w:rsidR="00CC6E68">
        <w:rPr>
          <w:rFonts w:ascii="Arial" w:hAnsi="Arial" w:cs="Arial"/>
          <w:bCs/>
          <w:snapToGrid w:val="0"/>
          <w:szCs w:val="22"/>
          <w:u w:val="none"/>
          <w:lang w:val="en-US"/>
        </w:rPr>
        <w:t xml:space="preserve"> OH3, OH5, </w:t>
      </w:r>
      <w:proofErr w:type="spellStart"/>
      <w:r w:rsidR="00CC6E68">
        <w:rPr>
          <w:rFonts w:ascii="Arial" w:hAnsi="Arial" w:cs="Arial"/>
          <w:bCs/>
          <w:snapToGrid w:val="0"/>
          <w:szCs w:val="22"/>
          <w:u w:val="none"/>
          <w:lang w:val="en-US"/>
        </w:rPr>
        <w:t>nádrž</w:t>
      </w:r>
      <w:proofErr w:type="spellEnd"/>
      <w:r w:rsidR="00CC6E68">
        <w:rPr>
          <w:rFonts w:ascii="Arial" w:hAnsi="Arial" w:cs="Arial"/>
          <w:bCs/>
          <w:snapToGrid w:val="0"/>
          <w:szCs w:val="22"/>
          <w:u w:val="none"/>
          <w:lang w:val="en-US"/>
        </w:rPr>
        <w:t xml:space="preserve"> VN1 a </w:t>
      </w:r>
      <w:proofErr w:type="spellStart"/>
      <w:r w:rsidR="00CC6E68">
        <w:rPr>
          <w:rFonts w:ascii="Arial" w:hAnsi="Arial" w:cs="Arial"/>
          <w:bCs/>
          <w:snapToGrid w:val="0"/>
          <w:szCs w:val="22"/>
          <w:u w:val="none"/>
          <w:lang w:val="en-US"/>
        </w:rPr>
        <w:t>polní</w:t>
      </w:r>
      <w:proofErr w:type="spellEnd"/>
      <w:r w:rsidR="00CC6E68">
        <w:rPr>
          <w:rFonts w:ascii="Arial" w:hAnsi="Arial" w:cs="Arial"/>
          <w:bCs/>
          <w:snapToGrid w:val="0"/>
          <w:szCs w:val="22"/>
          <w:u w:val="none"/>
          <w:lang w:val="en-US"/>
        </w:rPr>
        <w:t xml:space="preserve"> cesta VC7</w:t>
      </w:r>
    </w:p>
    <w:p w14:paraId="0A24F252" w14:textId="77777777" w:rsidR="00CC6E68" w:rsidRDefault="008E133F" w:rsidP="00AE2DC5">
      <w:pPr>
        <w:pStyle w:val="l-L1"/>
        <w:keepNext w:val="0"/>
        <w:numPr>
          <w:ilvl w:val="0"/>
          <w:numId w:val="0"/>
        </w:numPr>
        <w:spacing w:before="120" w:after="120"/>
        <w:ind w:left="737"/>
        <w:jc w:val="both"/>
        <w:rPr>
          <w:rFonts w:ascii="Arial" w:hAnsi="Arial" w:cs="Arial"/>
          <w:bCs/>
          <w:snapToGrid w:val="0"/>
          <w:szCs w:val="22"/>
          <w:u w:val="none"/>
          <w:lang w:val="en-US"/>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CC6E68">
        <w:rPr>
          <w:rFonts w:ascii="Arial" w:hAnsi="Arial" w:cs="Arial"/>
          <w:bCs/>
          <w:snapToGrid w:val="0"/>
          <w:szCs w:val="22"/>
          <w:u w:val="none"/>
          <w:lang w:val="en-US"/>
        </w:rPr>
        <w:t>Liberecký</w:t>
      </w:r>
      <w:proofErr w:type="spellEnd"/>
      <w:r w:rsidR="00CC6E68">
        <w:rPr>
          <w:rFonts w:ascii="Arial" w:hAnsi="Arial" w:cs="Arial"/>
          <w:bCs/>
          <w:snapToGrid w:val="0"/>
          <w:szCs w:val="22"/>
          <w:u w:val="none"/>
          <w:lang w:val="en-US"/>
        </w:rPr>
        <w:t xml:space="preserve"> </w:t>
      </w:r>
      <w:proofErr w:type="spellStart"/>
      <w:r w:rsidR="00CC6E68">
        <w:rPr>
          <w:rFonts w:ascii="Arial" w:hAnsi="Arial" w:cs="Arial"/>
          <w:bCs/>
          <w:snapToGrid w:val="0"/>
          <w:szCs w:val="22"/>
          <w:u w:val="none"/>
          <w:lang w:val="en-US"/>
        </w:rPr>
        <w:t>kraj</w:t>
      </w:r>
      <w:proofErr w:type="spellEnd"/>
      <w:r w:rsidR="00CC6E68">
        <w:rPr>
          <w:rFonts w:ascii="Arial" w:hAnsi="Arial" w:cs="Arial"/>
          <w:bCs/>
          <w:snapToGrid w:val="0"/>
          <w:szCs w:val="22"/>
          <w:u w:val="none"/>
          <w:lang w:val="en-US"/>
        </w:rPr>
        <w:t xml:space="preserve">, </w:t>
      </w:r>
      <w:proofErr w:type="spellStart"/>
      <w:r w:rsidR="00CC6E68">
        <w:rPr>
          <w:rFonts w:ascii="Arial" w:hAnsi="Arial" w:cs="Arial"/>
          <w:bCs/>
          <w:snapToGrid w:val="0"/>
          <w:szCs w:val="22"/>
          <w:u w:val="none"/>
          <w:lang w:val="en-US"/>
        </w:rPr>
        <w:t>okres</w:t>
      </w:r>
      <w:proofErr w:type="spellEnd"/>
      <w:r w:rsidR="00CC6E68">
        <w:rPr>
          <w:rFonts w:ascii="Arial" w:hAnsi="Arial" w:cs="Arial"/>
          <w:bCs/>
          <w:snapToGrid w:val="0"/>
          <w:szCs w:val="22"/>
          <w:u w:val="none"/>
          <w:lang w:val="en-US"/>
        </w:rPr>
        <w:t xml:space="preserve"> Liberec, </w:t>
      </w:r>
      <w:proofErr w:type="spellStart"/>
      <w:r w:rsidR="00CC6E68">
        <w:rPr>
          <w:rFonts w:ascii="Arial" w:hAnsi="Arial" w:cs="Arial"/>
          <w:bCs/>
          <w:snapToGrid w:val="0"/>
          <w:szCs w:val="22"/>
          <w:u w:val="none"/>
          <w:lang w:val="en-US"/>
        </w:rPr>
        <w:t>obec</w:t>
      </w:r>
      <w:proofErr w:type="spellEnd"/>
      <w:r w:rsidR="00CC6E68">
        <w:rPr>
          <w:rFonts w:ascii="Arial" w:hAnsi="Arial" w:cs="Arial"/>
          <w:bCs/>
          <w:snapToGrid w:val="0"/>
          <w:szCs w:val="22"/>
          <w:u w:val="none"/>
          <w:lang w:val="en-US"/>
        </w:rPr>
        <w:t xml:space="preserve"> </w:t>
      </w:r>
      <w:proofErr w:type="spellStart"/>
      <w:r w:rsidR="00CC6E68">
        <w:rPr>
          <w:rFonts w:ascii="Arial" w:hAnsi="Arial" w:cs="Arial"/>
          <w:bCs/>
          <w:snapToGrid w:val="0"/>
          <w:szCs w:val="22"/>
          <w:u w:val="none"/>
          <w:lang w:val="en-US"/>
        </w:rPr>
        <w:t>Černousy</w:t>
      </w:r>
      <w:proofErr w:type="spellEnd"/>
      <w:r w:rsidR="00CC6E68">
        <w:rPr>
          <w:rFonts w:ascii="Arial" w:hAnsi="Arial" w:cs="Arial"/>
          <w:bCs/>
          <w:snapToGrid w:val="0"/>
          <w:szCs w:val="22"/>
          <w:u w:val="none"/>
          <w:lang w:val="en-US"/>
        </w:rPr>
        <w:t xml:space="preserve">, </w:t>
      </w:r>
      <w:proofErr w:type="spellStart"/>
      <w:r w:rsidR="00CC6E68">
        <w:rPr>
          <w:rFonts w:ascii="Arial" w:hAnsi="Arial" w:cs="Arial"/>
          <w:bCs/>
          <w:snapToGrid w:val="0"/>
          <w:szCs w:val="22"/>
          <w:u w:val="none"/>
          <w:lang w:val="en-US"/>
        </w:rPr>
        <w:t>k.ú</w:t>
      </w:r>
      <w:proofErr w:type="spellEnd"/>
      <w:r w:rsidR="00CC6E68">
        <w:rPr>
          <w:rFonts w:ascii="Arial" w:hAnsi="Arial" w:cs="Arial"/>
          <w:bCs/>
          <w:snapToGrid w:val="0"/>
          <w:szCs w:val="22"/>
          <w:u w:val="none"/>
          <w:lang w:val="en-US"/>
        </w:rPr>
        <w:t xml:space="preserve">. </w:t>
      </w:r>
      <w:proofErr w:type="spellStart"/>
      <w:r w:rsidR="00CC6E68">
        <w:rPr>
          <w:rFonts w:ascii="Arial" w:hAnsi="Arial" w:cs="Arial"/>
          <w:bCs/>
          <w:snapToGrid w:val="0"/>
          <w:szCs w:val="22"/>
          <w:u w:val="none"/>
          <w:lang w:val="en-US"/>
        </w:rPr>
        <w:t>Boleslav</w:t>
      </w:r>
      <w:proofErr w:type="spellEnd"/>
      <w:r w:rsidR="00CC6E68">
        <w:rPr>
          <w:rFonts w:ascii="Arial" w:hAnsi="Arial" w:cs="Arial"/>
          <w:bCs/>
          <w:snapToGrid w:val="0"/>
          <w:szCs w:val="22"/>
          <w:u w:val="none"/>
          <w:lang w:val="en-US"/>
        </w:rPr>
        <w:t xml:space="preserve"> </w:t>
      </w:r>
    </w:p>
    <w:p w14:paraId="535BF821" w14:textId="47BFDEA3" w:rsidR="00035F68" w:rsidRPr="004D5F78" w:rsidRDefault="00CC6E68" w:rsidP="00CC6E68">
      <w:pPr>
        <w:pStyle w:val="l-L1"/>
        <w:keepNext w:val="0"/>
        <w:numPr>
          <w:ilvl w:val="0"/>
          <w:numId w:val="0"/>
        </w:numPr>
        <w:spacing w:before="120" w:after="120"/>
        <w:ind w:left="2153"/>
        <w:jc w:val="both"/>
        <w:rPr>
          <w:rStyle w:val="l-L2Char"/>
          <w:rFonts w:cs="Arial"/>
          <w:b w:val="0"/>
          <w:szCs w:val="22"/>
          <w:u w:val="none"/>
        </w:rPr>
      </w:pPr>
      <w:r>
        <w:rPr>
          <w:rFonts w:ascii="Arial" w:hAnsi="Arial" w:cs="Arial"/>
          <w:bCs/>
          <w:snapToGrid w:val="0"/>
          <w:szCs w:val="22"/>
          <w:u w:val="none"/>
          <w:lang w:val="en-US"/>
        </w:rPr>
        <w:t xml:space="preserve">   a </w:t>
      </w:r>
      <w:proofErr w:type="spellStart"/>
      <w:r>
        <w:rPr>
          <w:rFonts w:ascii="Arial" w:hAnsi="Arial" w:cs="Arial"/>
          <w:bCs/>
          <w:snapToGrid w:val="0"/>
          <w:szCs w:val="22"/>
          <w:u w:val="none"/>
          <w:lang w:val="en-US"/>
        </w:rPr>
        <w:t>k.ú</w:t>
      </w:r>
      <w:proofErr w:type="spellEnd"/>
      <w:r>
        <w:rPr>
          <w:rFonts w:ascii="Arial" w:hAnsi="Arial" w:cs="Arial"/>
          <w:bCs/>
          <w:snapToGrid w:val="0"/>
          <w:szCs w:val="22"/>
          <w:u w:val="none"/>
          <w:lang w:val="en-US"/>
        </w:rPr>
        <w:t>. Černousy</w:t>
      </w:r>
    </w:p>
    <w:p w14:paraId="7E69E732" w14:textId="77777777" w:rsidR="00CC6E68"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3FD7558C" w14:textId="77777777" w:rsidR="00CC6E68" w:rsidRPr="00626BAE" w:rsidRDefault="00CC6E68" w:rsidP="00CC6E68">
      <w:pPr>
        <w:spacing w:line="276" w:lineRule="auto"/>
        <w:ind w:left="708"/>
        <w:jc w:val="both"/>
        <w:rPr>
          <w:szCs w:val="22"/>
        </w:rPr>
      </w:pPr>
      <w:r w:rsidRPr="00626BAE">
        <w:rPr>
          <w:szCs w:val="22"/>
        </w:rPr>
        <w:t xml:space="preserve">1) </w:t>
      </w:r>
      <w:r w:rsidRPr="00626BAE">
        <w:rPr>
          <w:szCs w:val="22"/>
          <w:u w:val="single"/>
        </w:rPr>
        <w:t>Ochranná hrázka OH3</w:t>
      </w:r>
      <w:r w:rsidRPr="00626BAE">
        <w:rPr>
          <w:szCs w:val="22"/>
        </w:rPr>
        <w:t xml:space="preserve"> v </w:t>
      </w:r>
      <w:proofErr w:type="spellStart"/>
      <w:r w:rsidRPr="00626BAE">
        <w:rPr>
          <w:szCs w:val="22"/>
        </w:rPr>
        <w:t>k.ú</w:t>
      </w:r>
      <w:proofErr w:type="spellEnd"/>
      <w:r w:rsidRPr="00626BAE">
        <w:rPr>
          <w:szCs w:val="22"/>
        </w:rPr>
        <w:t xml:space="preserve">. Boleslav na pozemku </w:t>
      </w:r>
      <w:proofErr w:type="spellStart"/>
      <w:r w:rsidRPr="00626BAE">
        <w:rPr>
          <w:szCs w:val="22"/>
        </w:rPr>
        <w:t>p.č</w:t>
      </w:r>
      <w:proofErr w:type="spellEnd"/>
      <w:r w:rsidRPr="00626BAE">
        <w:rPr>
          <w:szCs w:val="22"/>
        </w:rPr>
        <w:t xml:space="preserve">. 487 ve vlastnictví Obce Černousy. Ochranná hrázka bude sloužit jako protipovodňové opatření k ochraně přilehlé zástavby před povodňovými průtoky z řeky </w:t>
      </w:r>
      <w:proofErr w:type="spellStart"/>
      <w:r w:rsidRPr="00626BAE">
        <w:rPr>
          <w:szCs w:val="22"/>
        </w:rPr>
        <w:t>Smědá</w:t>
      </w:r>
      <w:proofErr w:type="spellEnd"/>
      <w:r w:rsidRPr="00626BAE">
        <w:rPr>
          <w:szCs w:val="22"/>
        </w:rPr>
        <w:t xml:space="preserve">. Dle PSZ je navržena zemní homogenní hráz v délce 359 m, se sklony návodního líce 1:3,5 a </w:t>
      </w:r>
      <w:proofErr w:type="spellStart"/>
      <w:r w:rsidRPr="00626BAE">
        <w:rPr>
          <w:szCs w:val="22"/>
        </w:rPr>
        <w:t>vzdušního</w:t>
      </w:r>
      <w:proofErr w:type="spellEnd"/>
      <w:r w:rsidRPr="00626BAE">
        <w:rPr>
          <w:szCs w:val="22"/>
        </w:rPr>
        <w:t xml:space="preserve"> líce 1:2 a šířkou hráze </w:t>
      </w:r>
      <w:proofErr w:type="gramStart"/>
      <w:r w:rsidRPr="00626BAE">
        <w:rPr>
          <w:szCs w:val="22"/>
        </w:rPr>
        <w:t>3m</w:t>
      </w:r>
      <w:proofErr w:type="gramEnd"/>
      <w:r w:rsidRPr="00626BAE">
        <w:rPr>
          <w:szCs w:val="22"/>
        </w:rPr>
        <w:t xml:space="preserve">. Výška hráze se pohybuje od 0,3 m po 1,8 m. V </w:t>
      </w:r>
      <w:proofErr w:type="spellStart"/>
      <w:r w:rsidRPr="00626BAE">
        <w:rPr>
          <w:szCs w:val="22"/>
        </w:rPr>
        <w:t>nejnižích</w:t>
      </w:r>
      <w:proofErr w:type="spellEnd"/>
      <w:r w:rsidRPr="00626BAE">
        <w:rPr>
          <w:szCs w:val="22"/>
        </w:rPr>
        <w:t xml:space="preserve"> místech hráze jsou navrženy 4 provozní propustky o DN 400 mm. V hrázi je navržen provozní opevněný přejezd o šířce </w:t>
      </w:r>
      <w:proofErr w:type="gramStart"/>
      <w:r w:rsidRPr="00626BAE">
        <w:rPr>
          <w:szCs w:val="22"/>
        </w:rPr>
        <w:t>10m</w:t>
      </w:r>
      <w:proofErr w:type="gramEnd"/>
      <w:r w:rsidRPr="00626BAE">
        <w:rPr>
          <w:szCs w:val="22"/>
        </w:rPr>
        <w:t>.</w:t>
      </w:r>
    </w:p>
    <w:p w14:paraId="42F9BF24" w14:textId="77777777" w:rsidR="00CC6E68" w:rsidRDefault="00CC6E68" w:rsidP="00CC6E68">
      <w:pPr>
        <w:spacing w:line="276" w:lineRule="auto"/>
        <w:ind w:left="708"/>
        <w:jc w:val="both"/>
        <w:rPr>
          <w:szCs w:val="22"/>
        </w:rPr>
      </w:pPr>
      <w:r w:rsidRPr="00626BAE">
        <w:rPr>
          <w:szCs w:val="22"/>
        </w:rPr>
        <w:t xml:space="preserve">2) </w:t>
      </w:r>
      <w:r w:rsidRPr="00626BAE">
        <w:rPr>
          <w:szCs w:val="22"/>
          <w:u w:val="single"/>
        </w:rPr>
        <w:t>Ochranná hrázka OH5</w:t>
      </w:r>
      <w:r w:rsidRPr="00626BAE">
        <w:rPr>
          <w:szCs w:val="22"/>
        </w:rPr>
        <w:t xml:space="preserve"> v </w:t>
      </w:r>
      <w:proofErr w:type="spellStart"/>
      <w:r w:rsidRPr="00626BAE">
        <w:rPr>
          <w:szCs w:val="22"/>
        </w:rPr>
        <w:t>k.ú</w:t>
      </w:r>
      <w:proofErr w:type="spellEnd"/>
      <w:r w:rsidRPr="00626BAE">
        <w:rPr>
          <w:szCs w:val="22"/>
        </w:rPr>
        <w:t xml:space="preserve">. Černousy na pozemku </w:t>
      </w:r>
      <w:proofErr w:type="spellStart"/>
      <w:r w:rsidRPr="00626BAE">
        <w:rPr>
          <w:szCs w:val="22"/>
        </w:rPr>
        <w:t>p.č</w:t>
      </w:r>
      <w:proofErr w:type="spellEnd"/>
      <w:r w:rsidRPr="00626BAE">
        <w:rPr>
          <w:szCs w:val="22"/>
        </w:rPr>
        <w:t xml:space="preserve">. 888 ve vlastnictví Obce Černousy. Ochranná hrázka bude sloužit jako protipovodňové opatření k ochraně přilehlé zástavby před povodňovými průtoky z řeky </w:t>
      </w:r>
      <w:proofErr w:type="spellStart"/>
      <w:r w:rsidRPr="00626BAE">
        <w:rPr>
          <w:szCs w:val="22"/>
        </w:rPr>
        <w:t>Smědá</w:t>
      </w:r>
      <w:proofErr w:type="spellEnd"/>
      <w:r w:rsidRPr="00626BAE">
        <w:rPr>
          <w:szCs w:val="22"/>
        </w:rPr>
        <w:t xml:space="preserve">. Dle PSZ je navržena homogenní hráz v délce 260 m se sklony návodního líce 1:3 a </w:t>
      </w:r>
      <w:proofErr w:type="spellStart"/>
      <w:r w:rsidRPr="00626BAE">
        <w:rPr>
          <w:szCs w:val="22"/>
        </w:rPr>
        <w:t>vzdušního</w:t>
      </w:r>
      <w:proofErr w:type="spellEnd"/>
      <w:r w:rsidRPr="00626BAE">
        <w:rPr>
          <w:szCs w:val="22"/>
        </w:rPr>
        <w:t xml:space="preserve"> líce 1:2 a šířkou hráze 3 m. Výška hráze bude max. 2,5m. Hráz bude výškově nad přilehlou krajskou silnicí a bude nutné počítat s instalací mobilního </w:t>
      </w:r>
      <w:r>
        <w:rPr>
          <w:szCs w:val="22"/>
        </w:rPr>
        <w:t>hrazení této komunikace.</w:t>
      </w:r>
    </w:p>
    <w:p w14:paraId="02269569" w14:textId="77777777" w:rsidR="00CC6E68" w:rsidRDefault="00CC6E68" w:rsidP="00CC6E68">
      <w:pPr>
        <w:spacing w:line="276" w:lineRule="auto"/>
        <w:ind w:left="708"/>
        <w:jc w:val="both"/>
        <w:rPr>
          <w:szCs w:val="22"/>
        </w:rPr>
      </w:pPr>
      <w:r w:rsidRPr="00626BAE">
        <w:rPr>
          <w:szCs w:val="22"/>
        </w:rPr>
        <w:t xml:space="preserve">3) </w:t>
      </w:r>
      <w:r w:rsidRPr="00626BAE">
        <w:rPr>
          <w:szCs w:val="22"/>
          <w:u w:val="single"/>
        </w:rPr>
        <w:t>Rekonstrukce vodní nádrže VN1</w:t>
      </w:r>
      <w:r w:rsidRPr="00626BAE">
        <w:rPr>
          <w:szCs w:val="22"/>
        </w:rPr>
        <w:t xml:space="preserve"> v </w:t>
      </w:r>
      <w:proofErr w:type="spellStart"/>
      <w:r w:rsidRPr="00626BAE">
        <w:rPr>
          <w:szCs w:val="22"/>
        </w:rPr>
        <w:t>k.ú</w:t>
      </w:r>
      <w:proofErr w:type="spellEnd"/>
      <w:r w:rsidRPr="00626BAE">
        <w:rPr>
          <w:szCs w:val="22"/>
        </w:rPr>
        <w:t xml:space="preserve">. Boleslav nacházející se na pozemcích </w:t>
      </w:r>
      <w:proofErr w:type="spellStart"/>
      <w:r w:rsidRPr="00626BAE">
        <w:rPr>
          <w:szCs w:val="22"/>
        </w:rPr>
        <w:t>p.č</w:t>
      </w:r>
      <w:proofErr w:type="spellEnd"/>
      <w:r w:rsidRPr="00626BAE">
        <w:rPr>
          <w:szCs w:val="22"/>
        </w:rPr>
        <w:t xml:space="preserve">. 571 a 570 ve vlastnictví Obce Černousy. Projekt rekonstrukce nádrže by měl řešit rekonstrukci hrázového tělesa, návrh sdruženého objektu a odstranění sedimentů a náletových dřevin ze dna nádrže. </w:t>
      </w:r>
      <w:bookmarkStart w:id="0" w:name="_Hlk103841912"/>
      <w:r w:rsidRPr="00626BAE">
        <w:rPr>
          <w:szCs w:val="22"/>
        </w:rPr>
        <w:t xml:space="preserve">Dle PSZ má nádrž navržen </w:t>
      </w:r>
      <w:bookmarkEnd w:id="0"/>
      <w:r w:rsidRPr="00626BAE">
        <w:rPr>
          <w:szCs w:val="22"/>
        </w:rPr>
        <w:t>maximální objem 2487 m3 s plochou hladiny 2 337 m2</w:t>
      </w:r>
      <w:r>
        <w:rPr>
          <w:szCs w:val="22"/>
        </w:rPr>
        <w:t>. Maximální výška hráze je 2,25m.</w:t>
      </w:r>
    </w:p>
    <w:p w14:paraId="0A4AED6C" w14:textId="2E173A77" w:rsidR="000F5BF7" w:rsidRPr="00CC6E68" w:rsidRDefault="00CC6E68" w:rsidP="00CC6E68">
      <w:pPr>
        <w:spacing w:line="276" w:lineRule="auto"/>
        <w:ind w:left="708"/>
        <w:jc w:val="both"/>
        <w:rPr>
          <w:rStyle w:val="l-L2Char"/>
          <w:szCs w:val="22"/>
        </w:rPr>
      </w:pPr>
      <w:r w:rsidRPr="00626BAE">
        <w:rPr>
          <w:szCs w:val="22"/>
        </w:rPr>
        <w:t xml:space="preserve">4) </w:t>
      </w:r>
      <w:r w:rsidRPr="00626BAE">
        <w:rPr>
          <w:szCs w:val="22"/>
          <w:u w:val="single"/>
        </w:rPr>
        <w:t>Rekonstrukce polní cesty VC7</w:t>
      </w:r>
      <w:r w:rsidRPr="00626BAE">
        <w:rPr>
          <w:szCs w:val="22"/>
        </w:rPr>
        <w:t xml:space="preserve"> v </w:t>
      </w:r>
      <w:proofErr w:type="spellStart"/>
      <w:r w:rsidRPr="00626BAE">
        <w:rPr>
          <w:szCs w:val="22"/>
        </w:rPr>
        <w:t>k.ú</w:t>
      </w:r>
      <w:proofErr w:type="spellEnd"/>
      <w:r w:rsidRPr="00626BAE">
        <w:rPr>
          <w:szCs w:val="22"/>
        </w:rPr>
        <w:t xml:space="preserve">. Boleslav nacházející se na pozemku </w:t>
      </w:r>
      <w:proofErr w:type="spellStart"/>
      <w:r w:rsidRPr="00626BAE">
        <w:rPr>
          <w:szCs w:val="22"/>
        </w:rPr>
        <w:t>p.č</w:t>
      </w:r>
      <w:proofErr w:type="spellEnd"/>
      <w:r w:rsidRPr="00626BAE">
        <w:rPr>
          <w:szCs w:val="22"/>
        </w:rPr>
        <w:t xml:space="preserve">. 570 ve vlastnictví Obce Černousy. Tato vedlejší polní cesta bude sloužit jako přístupová cesta k vodní nádrži VN1 a k dalším přilehlým pozemkům. Částečně cesta tvoří hráz vodní nádrže VN1. Cesta má délku </w:t>
      </w:r>
      <w:proofErr w:type="gramStart"/>
      <w:r w:rsidRPr="00626BAE">
        <w:rPr>
          <w:szCs w:val="22"/>
        </w:rPr>
        <w:t>240m</w:t>
      </w:r>
      <w:proofErr w:type="gramEnd"/>
      <w:r w:rsidRPr="00626BAE">
        <w:rPr>
          <w:szCs w:val="22"/>
        </w:rPr>
        <w:t xml:space="preserve"> a navazuje na místní komunikaci a končí za vodní nádrží VN1. Návrhová kategorie je 4,5/20 (3,5 m jízdní pás + 2x0,5m krajnice). Povrch cesty je navržen jako asfaltobetonový.</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03C3A328"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521B16F2" w:rsidR="006B2BF9" w:rsidRPr="00517173" w:rsidRDefault="006B2BF9" w:rsidP="00517173">
      <w:pPr>
        <w:pStyle w:val="Odstavecseseznamem"/>
        <w:numPr>
          <w:ilvl w:val="0"/>
          <w:numId w:val="82"/>
        </w:numPr>
        <w:spacing w:after="0" w:line="240" w:lineRule="auto"/>
        <w:ind w:left="1078" w:hanging="284"/>
        <w:contextualSpacing w:val="0"/>
        <w:jc w:val="both"/>
        <w:rPr>
          <w:rStyle w:val="l-L2Cha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1AE570DE"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214E616"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CC6E68">
        <w:rPr>
          <w:rStyle w:val="l-L2Char"/>
          <w:rFonts w:cs="Arial"/>
          <w:b w:val="0"/>
          <w:szCs w:val="22"/>
          <w:u w:val="none"/>
        </w:rPr>
        <w:tab/>
      </w:r>
      <w:r w:rsidR="00CC6E68" w:rsidRPr="00CC6E68">
        <w:rPr>
          <w:rFonts w:ascii="Arial" w:hAnsi="Arial" w:cs="Arial"/>
          <w:bCs/>
          <w:snapToGrid w:val="0"/>
          <w:szCs w:val="22"/>
          <w:u w:val="none"/>
        </w:rPr>
        <w:t>30.4.2022</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Plnění.V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816D146"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tbl>
      <w:tblPr>
        <w:tblW w:w="9475" w:type="dxa"/>
        <w:jc w:val="center"/>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2954"/>
        <w:gridCol w:w="2268"/>
        <w:gridCol w:w="1843"/>
        <w:gridCol w:w="2410"/>
      </w:tblGrid>
      <w:tr w:rsidR="00CC6E68" w:rsidRPr="00333A8F" w14:paraId="77F10133" w14:textId="77777777" w:rsidTr="00C023FE">
        <w:trPr>
          <w:trHeight w:val="540"/>
          <w:jc w:val="center"/>
        </w:trPr>
        <w:tc>
          <w:tcPr>
            <w:tcW w:w="2954" w:type="dxa"/>
            <w:tcMar>
              <w:left w:w="85" w:type="dxa"/>
              <w:right w:w="85" w:type="dxa"/>
            </w:tcMar>
            <w:vAlign w:val="center"/>
          </w:tcPr>
          <w:p w14:paraId="37B10639" w14:textId="77777777" w:rsidR="00CC6E68" w:rsidRPr="00037712" w:rsidRDefault="00CC6E68" w:rsidP="00B6636A">
            <w:pPr>
              <w:spacing w:line="276" w:lineRule="auto"/>
              <w:jc w:val="center"/>
              <w:rPr>
                <w:rFonts w:cs="Arial"/>
              </w:rPr>
            </w:pPr>
          </w:p>
        </w:tc>
        <w:tc>
          <w:tcPr>
            <w:tcW w:w="2268" w:type="dxa"/>
            <w:tcMar>
              <w:left w:w="85" w:type="dxa"/>
              <w:right w:w="85" w:type="dxa"/>
            </w:tcMar>
            <w:vAlign w:val="center"/>
          </w:tcPr>
          <w:p w14:paraId="1D488416" w14:textId="77777777" w:rsidR="00CC6E68" w:rsidRPr="00333A8F" w:rsidRDefault="00CC6E68" w:rsidP="00B6636A">
            <w:pPr>
              <w:spacing w:line="276" w:lineRule="auto"/>
              <w:jc w:val="center"/>
              <w:rPr>
                <w:rFonts w:cs="Arial"/>
                <w:b/>
                <w:bCs/>
                <w:szCs w:val="22"/>
              </w:rPr>
            </w:pPr>
            <w:r w:rsidRPr="00333A8F">
              <w:rPr>
                <w:rFonts w:cs="Arial"/>
                <w:b/>
                <w:bCs/>
                <w:szCs w:val="22"/>
              </w:rPr>
              <w:t>Cena bez DPH</w:t>
            </w:r>
          </w:p>
        </w:tc>
        <w:tc>
          <w:tcPr>
            <w:tcW w:w="1843" w:type="dxa"/>
            <w:vAlign w:val="center"/>
          </w:tcPr>
          <w:p w14:paraId="02000F7F" w14:textId="77777777" w:rsidR="00CC6E68" w:rsidRPr="00333A8F" w:rsidRDefault="00CC6E68" w:rsidP="00B6636A">
            <w:pPr>
              <w:spacing w:line="276" w:lineRule="auto"/>
              <w:jc w:val="center"/>
              <w:rPr>
                <w:rFonts w:cs="Arial"/>
                <w:b/>
                <w:bCs/>
                <w:szCs w:val="22"/>
              </w:rPr>
            </w:pPr>
            <w:r w:rsidRPr="00333A8F">
              <w:rPr>
                <w:rFonts w:cs="Arial"/>
                <w:b/>
                <w:bCs/>
                <w:szCs w:val="22"/>
              </w:rPr>
              <w:t xml:space="preserve"> DPH</w:t>
            </w:r>
          </w:p>
        </w:tc>
        <w:tc>
          <w:tcPr>
            <w:tcW w:w="2410" w:type="dxa"/>
            <w:tcMar>
              <w:left w:w="85" w:type="dxa"/>
              <w:right w:w="85" w:type="dxa"/>
            </w:tcMar>
            <w:vAlign w:val="center"/>
          </w:tcPr>
          <w:p w14:paraId="575F23E6" w14:textId="77777777" w:rsidR="00CC6E68" w:rsidRPr="00333A8F" w:rsidRDefault="00CC6E68" w:rsidP="00B6636A">
            <w:pPr>
              <w:spacing w:line="276" w:lineRule="auto"/>
              <w:jc w:val="center"/>
              <w:rPr>
                <w:rFonts w:cs="Arial"/>
                <w:b/>
                <w:bCs/>
              </w:rPr>
            </w:pPr>
            <w:r w:rsidRPr="00333A8F">
              <w:rPr>
                <w:rFonts w:cs="Arial"/>
                <w:b/>
                <w:bCs/>
                <w:szCs w:val="22"/>
              </w:rPr>
              <w:t>Cena včetně DPH</w:t>
            </w:r>
          </w:p>
        </w:tc>
      </w:tr>
      <w:tr w:rsidR="00CC6E68" w:rsidRPr="00037712" w14:paraId="016CCFDF" w14:textId="77777777" w:rsidTr="00C023FE">
        <w:trPr>
          <w:trHeight w:val="597"/>
          <w:jc w:val="center"/>
        </w:trPr>
        <w:tc>
          <w:tcPr>
            <w:tcW w:w="2954" w:type="dxa"/>
            <w:tcMar>
              <w:left w:w="85" w:type="dxa"/>
              <w:right w:w="85" w:type="dxa"/>
            </w:tcMar>
            <w:vAlign w:val="center"/>
          </w:tcPr>
          <w:p w14:paraId="73C7FFC7" w14:textId="77777777" w:rsidR="00CC6E68" w:rsidRPr="002E67D3" w:rsidRDefault="00CC6E68" w:rsidP="00B6636A">
            <w:pPr>
              <w:spacing w:line="276" w:lineRule="auto"/>
              <w:rPr>
                <w:rFonts w:cs="Arial"/>
                <w:szCs w:val="22"/>
              </w:rPr>
            </w:pPr>
            <w:r w:rsidRPr="002E67D3">
              <w:rPr>
                <w:rFonts w:cs="Arial"/>
                <w:szCs w:val="22"/>
              </w:rPr>
              <w:t>Vypracování PD pro OH3</w:t>
            </w:r>
          </w:p>
        </w:tc>
        <w:tc>
          <w:tcPr>
            <w:tcW w:w="2268" w:type="dxa"/>
            <w:tcMar>
              <w:left w:w="85" w:type="dxa"/>
              <w:right w:w="85" w:type="dxa"/>
            </w:tcMar>
          </w:tcPr>
          <w:p w14:paraId="5AAC780B" w14:textId="77777777" w:rsidR="00CC6E68" w:rsidRPr="00037712" w:rsidRDefault="00CC6E68" w:rsidP="00B6636A">
            <w:pPr>
              <w:spacing w:line="276" w:lineRule="auto"/>
              <w:jc w:val="right"/>
              <w:rPr>
                <w:rFonts w:cs="Arial"/>
              </w:rPr>
            </w:pPr>
          </w:p>
        </w:tc>
        <w:tc>
          <w:tcPr>
            <w:tcW w:w="1843" w:type="dxa"/>
          </w:tcPr>
          <w:p w14:paraId="2586167D" w14:textId="77777777" w:rsidR="00CC6E68" w:rsidRPr="00037712" w:rsidRDefault="00CC6E68" w:rsidP="00B6636A">
            <w:pPr>
              <w:spacing w:line="276" w:lineRule="auto"/>
              <w:jc w:val="right"/>
              <w:rPr>
                <w:rFonts w:cs="Arial"/>
              </w:rPr>
            </w:pPr>
          </w:p>
        </w:tc>
        <w:tc>
          <w:tcPr>
            <w:tcW w:w="2410" w:type="dxa"/>
            <w:tcMar>
              <w:left w:w="85" w:type="dxa"/>
              <w:right w:w="85" w:type="dxa"/>
            </w:tcMar>
          </w:tcPr>
          <w:p w14:paraId="241980BE" w14:textId="77777777" w:rsidR="00CC6E68" w:rsidRPr="00037712" w:rsidRDefault="00CC6E68" w:rsidP="00B6636A">
            <w:pPr>
              <w:spacing w:line="276" w:lineRule="auto"/>
              <w:jc w:val="right"/>
              <w:rPr>
                <w:rFonts w:cs="Arial"/>
              </w:rPr>
            </w:pPr>
          </w:p>
        </w:tc>
      </w:tr>
      <w:tr w:rsidR="00CC6E68" w:rsidRPr="00037712" w14:paraId="21464C9E" w14:textId="77777777" w:rsidTr="00C023FE">
        <w:trPr>
          <w:trHeight w:val="597"/>
          <w:jc w:val="center"/>
        </w:trPr>
        <w:tc>
          <w:tcPr>
            <w:tcW w:w="2954" w:type="dxa"/>
            <w:tcMar>
              <w:left w:w="85" w:type="dxa"/>
              <w:right w:w="85" w:type="dxa"/>
            </w:tcMar>
            <w:vAlign w:val="center"/>
          </w:tcPr>
          <w:p w14:paraId="466F3F21" w14:textId="77777777" w:rsidR="00CC6E68" w:rsidRPr="002E67D3" w:rsidRDefault="00CC6E68" w:rsidP="00B6636A">
            <w:pPr>
              <w:spacing w:line="276" w:lineRule="auto"/>
              <w:rPr>
                <w:rFonts w:cs="Arial"/>
                <w:szCs w:val="22"/>
              </w:rPr>
            </w:pPr>
            <w:r w:rsidRPr="002E67D3">
              <w:rPr>
                <w:rFonts w:cs="Arial"/>
                <w:szCs w:val="22"/>
              </w:rPr>
              <w:t>Vypracování PD pro OH5</w:t>
            </w:r>
          </w:p>
        </w:tc>
        <w:tc>
          <w:tcPr>
            <w:tcW w:w="2268" w:type="dxa"/>
            <w:tcMar>
              <w:left w:w="85" w:type="dxa"/>
              <w:right w:w="85" w:type="dxa"/>
            </w:tcMar>
          </w:tcPr>
          <w:p w14:paraId="34D5B9C5" w14:textId="77777777" w:rsidR="00CC6E68" w:rsidRPr="00037712" w:rsidRDefault="00CC6E68" w:rsidP="00B6636A">
            <w:pPr>
              <w:spacing w:line="276" w:lineRule="auto"/>
              <w:jc w:val="right"/>
              <w:rPr>
                <w:rFonts w:cs="Arial"/>
              </w:rPr>
            </w:pPr>
          </w:p>
        </w:tc>
        <w:tc>
          <w:tcPr>
            <w:tcW w:w="1843" w:type="dxa"/>
          </w:tcPr>
          <w:p w14:paraId="06448546" w14:textId="77777777" w:rsidR="00CC6E68" w:rsidRPr="00037712" w:rsidRDefault="00CC6E68" w:rsidP="00B6636A">
            <w:pPr>
              <w:spacing w:line="276" w:lineRule="auto"/>
              <w:jc w:val="right"/>
              <w:rPr>
                <w:rFonts w:cs="Arial"/>
              </w:rPr>
            </w:pPr>
          </w:p>
        </w:tc>
        <w:tc>
          <w:tcPr>
            <w:tcW w:w="2410" w:type="dxa"/>
            <w:tcMar>
              <w:left w:w="85" w:type="dxa"/>
              <w:right w:w="85" w:type="dxa"/>
            </w:tcMar>
          </w:tcPr>
          <w:p w14:paraId="0DB98595" w14:textId="77777777" w:rsidR="00CC6E68" w:rsidRPr="00037712" w:rsidRDefault="00CC6E68" w:rsidP="00B6636A">
            <w:pPr>
              <w:spacing w:line="276" w:lineRule="auto"/>
              <w:jc w:val="right"/>
              <w:rPr>
                <w:rFonts w:cs="Arial"/>
              </w:rPr>
            </w:pPr>
          </w:p>
        </w:tc>
      </w:tr>
      <w:tr w:rsidR="00CC6E68" w:rsidRPr="00037712" w14:paraId="28FDFF79" w14:textId="77777777" w:rsidTr="00C023FE">
        <w:trPr>
          <w:trHeight w:val="597"/>
          <w:jc w:val="center"/>
        </w:trPr>
        <w:tc>
          <w:tcPr>
            <w:tcW w:w="2954" w:type="dxa"/>
            <w:tcMar>
              <w:left w:w="85" w:type="dxa"/>
              <w:right w:w="85" w:type="dxa"/>
            </w:tcMar>
            <w:vAlign w:val="center"/>
          </w:tcPr>
          <w:p w14:paraId="20F618AD" w14:textId="77777777" w:rsidR="00CC6E68" w:rsidRPr="002E67D3" w:rsidRDefault="00CC6E68" w:rsidP="00B6636A">
            <w:pPr>
              <w:spacing w:line="276" w:lineRule="auto"/>
              <w:rPr>
                <w:rFonts w:cs="Arial"/>
                <w:szCs w:val="22"/>
              </w:rPr>
            </w:pPr>
            <w:r w:rsidRPr="002E67D3">
              <w:rPr>
                <w:rFonts w:cs="Arial"/>
                <w:szCs w:val="22"/>
              </w:rPr>
              <w:t>Vypracování PD pro VN1</w:t>
            </w:r>
          </w:p>
        </w:tc>
        <w:tc>
          <w:tcPr>
            <w:tcW w:w="2268" w:type="dxa"/>
            <w:tcMar>
              <w:left w:w="85" w:type="dxa"/>
              <w:right w:w="85" w:type="dxa"/>
            </w:tcMar>
            <w:vAlign w:val="center"/>
          </w:tcPr>
          <w:p w14:paraId="1C1D5F12" w14:textId="77777777" w:rsidR="00CC6E68" w:rsidRPr="00037712" w:rsidRDefault="00CC6E68" w:rsidP="00B6636A">
            <w:pPr>
              <w:spacing w:line="276" w:lineRule="auto"/>
              <w:jc w:val="right"/>
              <w:rPr>
                <w:rFonts w:cs="Arial"/>
              </w:rPr>
            </w:pPr>
          </w:p>
        </w:tc>
        <w:tc>
          <w:tcPr>
            <w:tcW w:w="1843" w:type="dxa"/>
          </w:tcPr>
          <w:p w14:paraId="2DD4EE30" w14:textId="77777777" w:rsidR="00CC6E68" w:rsidRPr="00037712" w:rsidRDefault="00CC6E68" w:rsidP="00B6636A">
            <w:pPr>
              <w:spacing w:line="276" w:lineRule="auto"/>
              <w:jc w:val="right"/>
              <w:rPr>
                <w:rFonts w:cs="Arial"/>
              </w:rPr>
            </w:pPr>
          </w:p>
        </w:tc>
        <w:tc>
          <w:tcPr>
            <w:tcW w:w="2410" w:type="dxa"/>
            <w:tcMar>
              <w:left w:w="85" w:type="dxa"/>
              <w:right w:w="85" w:type="dxa"/>
            </w:tcMar>
            <w:vAlign w:val="center"/>
          </w:tcPr>
          <w:p w14:paraId="5CC26733" w14:textId="77777777" w:rsidR="00CC6E68" w:rsidRPr="00037712" w:rsidRDefault="00CC6E68" w:rsidP="00B6636A">
            <w:pPr>
              <w:spacing w:line="276" w:lineRule="auto"/>
              <w:jc w:val="right"/>
              <w:rPr>
                <w:rFonts w:cs="Arial"/>
              </w:rPr>
            </w:pPr>
          </w:p>
        </w:tc>
      </w:tr>
      <w:tr w:rsidR="00CC6E68" w:rsidRPr="00037712" w14:paraId="31892DEE" w14:textId="77777777" w:rsidTr="00C023FE">
        <w:trPr>
          <w:trHeight w:val="597"/>
          <w:jc w:val="center"/>
        </w:trPr>
        <w:tc>
          <w:tcPr>
            <w:tcW w:w="2954" w:type="dxa"/>
            <w:tcMar>
              <w:left w:w="85" w:type="dxa"/>
              <w:right w:w="85" w:type="dxa"/>
            </w:tcMar>
            <w:vAlign w:val="center"/>
          </w:tcPr>
          <w:p w14:paraId="333E86AC" w14:textId="77777777" w:rsidR="00CC6E68" w:rsidRPr="002E67D3" w:rsidRDefault="00CC6E68" w:rsidP="00B6636A">
            <w:pPr>
              <w:spacing w:line="276" w:lineRule="auto"/>
              <w:rPr>
                <w:rFonts w:cs="Arial"/>
                <w:szCs w:val="22"/>
              </w:rPr>
            </w:pPr>
            <w:r>
              <w:rPr>
                <w:rFonts w:cs="Arial"/>
                <w:szCs w:val="22"/>
              </w:rPr>
              <w:t>Vypracování PD pro VC7</w:t>
            </w:r>
          </w:p>
        </w:tc>
        <w:tc>
          <w:tcPr>
            <w:tcW w:w="2268" w:type="dxa"/>
            <w:tcMar>
              <w:left w:w="85" w:type="dxa"/>
              <w:right w:w="85" w:type="dxa"/>
            </w:tcMar>
            <w:vAlign w:val="center"/>
          </w:tcPr>
          <w:p w14:paraId="00C1336E" w14:textId="77777777" w:rsidR="00CC6E68" w:rsidRPr="00037712" w:rsidRDefault="00CC6E68" w:rsidP="00B6636A">
            <w:pPr>
              <w:spacing w:line="276" w:lineRule="auto"/>
              <w:jc w:val="right"/>
              <w:rPr>
                <w:rFonts w:cs="Arial"/>
              </w:rPr>
            </w:pPr>
          </w:p>
        </w:tc>
        <w:tc>
          <w:tcPr>
            <w:tcW w:w="1843" w:type="dxa"/>
          </w:tcPr>
          <w:p w14:paraId="0EDEA641" w14:textId="77777777" w:rsidR="00CC6E68" w:rsidRPr="00037712" w:rsidRDefault="00CC6E68" w:rsidP="00B6636A">
            <w:pPr>
              <w:spacing w:line="276" w:lineRule="auto"/>
              <w:jc w:val="right"/>
              <w:rPr>
                <w:rFonts w:cs="Arial"/>
              </w:rPr>
            </w:pPr>
          </w:p>
        </w:tc>
        <w:tc>
          <w:tcPr>
            <w:tcW w:w="2410" w:type="dxa"/>
            <w:tcMar>
              <w:left w:w="85" w:type="dxa"/>
              <w:right w:w="85" w:type="dxa"/>
            </w:tcMar>
            <w:vAlign w:val="center"/>
          </w:tcPr>
          <w:p w14:paraId="0E9CD44C" w14:textId="77777777" w:rsidR="00CC6E68" w:rsidRPr="00037712" w:rsidRDefault="00CC6E68" w:rsidP="00B6636A">
            <w:pPr>
              <w:spacing w:line="276" w:lineRule="auto"/>
              <w:jc w:val="right"/>
              <w:rPr>
                <w:rFonts w:cs="Arial"/>
              </w:rPr>
            </w:pPr>
          </w:p>
        </w:tc>
      </w:tr>
      <w:tr w:rsidR="00CC6E68" w:rsidRPr="00037712" w14:paraId="50437D71" w14:textId="77777777" w:rsidTr="00C023FE">
        <w:trPr>
          <w:trHeight w:val="597"/>
          <w:jc w:val="center"/>
        </w:trPr>
        <w:tc>
          <w:tcPr>
            <w:tcW w:w="2954" w:type="dxa"/>
            <w:tcMar>
              <w:left w:w="85" w:type="dxa"/>
              <w:right w:w="85" w:type="dxa"/>
            </w:tcMar>
            <w:vAlign w:val="center"/>
          </w:tcPr>
          <w:p w14:paraId="20C23670" w14:textId="77777777" w:rsidR="00CC6E68" w:rsidRPr="002E67D3" w:rsidRDefault="00CC6E68" w:rsidP="00B6636A">
            <w:pPr>
              <w:spacing w:line="276" w:lineRule="auto"/>
              <w:rPr>
                <w:rFonts w:cs="Arial"/>
                <w:b/>
                <w:bCs/>
                <w:szCs w:val="22"/>
              </w:rPr>
            </w:pPr>
            <w:r w:rsidRPr="002E67D3">
              <w:rPr>
                <w:rFonts w:cs="Arial"/>
                <w:b/>
                <w:bCs/>
                <w:szCs w:val="22"/>
              </w:rPr>
              <w:t>Celkem PD vč. GTP</w:t>
            </w:r>
          </w:p>
        </w:tc>
        <w:tc>
          <w:tcPr>
            <w:tcW w:w="2268" w:type="dxa"/>
            <w:tcMar>
              <w:left w:w="85" w:type="dxa"/>
              <w:right w:w="85" w:type="dxa"/>
            </w:tcMar>
          </w:tcPr>
          <w:p w14:paraId="55AF25A0" w14:textId="77777777" w:rsidR="00CC6E68" w:rsidRPr="00037712" w:rsidRDefault="00CC6E68" w:rsidP="00B6636A">
            <w:pPr>
              <w:spacing w:line="276" w:lineRule="auto"/>
              <w:jc w:val="right"/>
              <w:rPr>
                <w:rFonts w:cs="Arial"/>
              </w:rPr>
            </w:pPr>
          </w:p>
        </w:tc>
        <w:tc>
          <w:tcPr>
            <w:tcW w:w="1843" w:type="dxa"/>
          </w:tcPr>
          <w:p w14:paraId="3B435B25" w14:textId="77777777" w:rsidR="00CC6E68" w:rsidRPr="00037712" w:rsidRDefault="00CC6E68" w:rsidP="00B6636A">
            <w:pPr>
              <w:spacing w:line="276" w:lineRule="auto"/>
              <w:jc w:val="right"/>
              <w:rPr>
                <w:rFonts w:cs="Arial"/>
              </w:rPr>
            </w:pPr>
          </w:p>
        </w:tc>
        <w:tc>
          <w:tcPr>
            <w:tcW w:w="2410" w:type="dxa"/>
            <w:tcMar>
              <w:left w:w="85" w:type="dxa"/>
              <w:right w:w="85" w:type="dxa"/>
            </w:tcMar>
          </w:tcPr>
          <w:p w14:paraId="220C6320" w14:textId="77777777" w:rsidR="00CC6E68" w:rsidRPr="00037712" w:rsidRDefault="00CC6E68" w:rsidP="00B6636A">
            <w:pPr>
              <w:spacing w:line="276" w:lineRule="auto"/>
              <w:jc w:val="right"/>
              <w:rPr>
                <w:rFonts w:cs="Arial"/>
              </w:rPr>
            </w:pPr>
          </w:p>
        </w:tc>
      </w:tr>
    </w:tbl>
    <w:p w14:paraId="06B09277" w14:textId="77777777" w:rsidR="00C023FE" w:rsidRDefault="00C023FE" w:rsidP="00C023FE">
      <w:pPr>
        <w:pStyle w:val="l-L1"/>
        <w:keepNext w:val="0"/>
        <w:numPr>
          <w:ilvl w:val="0"/>
          <w:numId w:val="0"/>
        </w:numPr>
        <w:spacing w:before="120" w:after="60"/>
        <w:ind w:left="737"/>
        <w:jc w:val="both"/>
        <w:rPr>
          <w:rStyle w:val="l-L2Char"/>
          <w:rFonts w:cs="Arial"/>
          <w:b w:val="0"/>
          <w:szCs w:val="22"/>
          <w:u w:val="none"/>
        </w:rPr>
      </w:pPr>
      <w:r w:rsidRPr="005B3173">
        <w:rPr>
          <w:rStyle w:val="l-L2Char"/>
          <w:rFonts w:cs="Arial"/>
          <w:b w:val="0"/>
          <w:szCs w:val="22"/>
          <w:u w:val="none"/>
        </w:rPr>
        <w:t xml:space="preserve">Cena za </w:t>
      </w:r>
      <w:r w:rsidRPr="009821DF">
        <w:rPr>
          <w:rStyle w:val="l-L2Char"/>
          <w:rFonts w:cs="Arial"/>
          <w:b w:val="0"/>
          <w:szCs w:val="22"/>
          <w:u w:val="none"/>
        </w:rPr>
        <w:t xml:space="preserve">provedení podrobného geotechnického průzkumu </w:t>
      </w:r>
      <w:r w:rsidRPr="004D5F78">
        <w:rPr>
          <w:rStyle w:val="l-L2Char"/>
          <w:rFonts w:cs="Arial"/>
          <w:b w:val="0"/>
          <w:szCs w:val="22"/>
          <w:u w:val="none"/>
        </w:rPr>
        <w:t>v rozsahu nezbytném pro</w:t>
      </w:r>
      <w:r>
        <w:rPr>
          <w:rStyle w:val="l-L2Char"/>
          <w:rFonts w:cs="Arial"/>
          <w:b w:val="0"/>
          <w:szCs w:val="22"/>
          <w:u w:val="none"/>
        </w:rPr>
        <w:t> </w:t>
      </w:r>
      <w:r w:rsidRPr="004D5F78">
        <w:rPr>
          <w:rStyle w:val="l-L2Char"/>
          <w:rFonts w:cs="Arial"/>
          <w:b w:val="0"/>
          <w:szCs w:val="22"/>
          <w:u w:val="none"/>
        </w:rPr>
        <w:t xml:space="preserve">realizaci </w:t>
      </w:r>
      <w:r>
        <w:rPr>
          <w:rStyle w:val="l-L2Char"/>
          <w:rFonts w:cs="Arial"/>
          <w:b w:val="0"/>
          <w:szCs w:val="22"/>
          <w:u w:val="none"/>
        </w:rPr>
        <w:t>stavby činí</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szCs w:val="22"/>
          <w:u w:val="none"/>
        </w:rPr>
        <w:t>,- Kč bez DPH,</w:t>
      </w:r>
      <w:r w:rsidRPr="005B3173">
        <w:rPr>
          <w:rStyle w:val="l-L2Char"/>
          <w:rFonts w:cs="Arial"/>
          <w:b w:val="0"/>
          <w:szCs w:val="22"/>
          <w:u w:val="none"/>
        </w:rPr>
        <w:t xml:space="preserve">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w:t>
      </w:r>
      <w:r>
        <w:rPr>
          <w:rStyle w:val="l-L2Char"/>
          <w:rFonts w:cs="Arial"/>
          <w:szCs w:val="22"/>
          <w:u w:val="none"/>
        </w:rPr>
        <w:t>vč. </w:t>
      </w:r>
      <w:r w:rsidRPr="005B3173">
        <w:rPr>
          <w:rStyle w:val="l-L2Char"/>
          <w:rFonts w:cs="Arial"/>
          <w:szCs w:val="22"/>
          <w:u w:val="none"/>
        </w:rPr>
        <w:t>DPH</w:t>
      </w:r>
    </w:p>
    <w:p w14:paraId="44CC3346" w14:textId="52ACF4A0" w:rsidR="00CC6E68" w:rsidRPr="00C023FE" w:rsidRDefault="00C023FE" w:rsidP="00C023FE">
      <w:pPr>
        <w:pStyle w:val="Default"/>
        <w:ind w:firstLine="708"/>
        <w:rPr>
          <w:rStyle w:val="l-L2Char"/>
          <w:rFonts w:ascii="Times New Roman" w:hAnsi="Times New Roman"/>
          <w:szCs w:val="22"/>
        </w:rPr>
      </w:pPr>
      <w:r w:rsidRPr="00A4302C">
        <w:rPr>
          <w:i/>
          <w:iCs/>
          <w:sz w:val="22"/>
          <w:szCs w:val="22"/>
          <w:highlight w:val="yellow"/>
        </w:rPr>
        <w:t>(Cen</w:t>
      </w:r>
      <w:r>
        <w:rPr>
          <w:i/>
          <w:iCs/>
          <w:sz w:val="22"/>
          <w:szCs w:val="22"/>
          <w:highlight w:val="yellow"/>
        </w:rPr>
        <w:t>y</w:t>
      </w:r>
      <w:r w:rsidRPr="00A4302C">
        <w:rPr>
          <w:i/>
          <w:iCs/>
          <w:sz w:val="22"/>
          <w:szCs w:val="22"/>
          <w:highlight w:val="yellow"/>
        </w:rPr>
        <w:t xml:space="preserve"> bud</w:t>
      </w:r>
      <w:r>
        <w:rPr>
          <w:i/>
          <w:iCs/>
          <w:sz w:val="22"/>
          <w:szCs w:val="22"/>
          <w:highlight w:val="yellow"/>
        </w:rPr>
        <w:t>ou</w:t>
      </w:r>
      <w:r w:rsidRPr="00A4302C">
        <w:rPr>
          <w:i/>
          <w:iCs/>
          <w:sz w:val="22"/>
          <w:szCs w:val="22"/>
          <w:highlight w:val="yellow"/>
        </w:rPr>
        <w:t xml:space="preserve"> uváděn</w:t>
      </w:r>
      <w:r>
        <w:rPr>
          <w:i/>
          <w:iCs/>
          <w:sz w:val="22"/>
          <w:szCs w:val="22"/>
          <w:highlight w:val="yellow"/>
        </w:rPr>
        <w:t>y</w:t>
      </w:r>
      <w:r w:rsidRPr="00A4302C">
        <w:rPr>
          <w:i/>
          <w:iCs/>
          <w:sz w:val="22"/>
          <w:szCs w:val="22"/>
          <w:highlight w:val="yellow"/>
        </w:rPr>
        <w:t xml:space="preserve"> na haléře, tj. na 2 desetinná místa)</w:t>
      </w:r>
    </w:p>
    <w:p w14:paraId="14B93BB9" w14:textId="69DA6F3E"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812179">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767A69F0" w14:textId="77777777" w:rsidR="00C023FE" w:rsidRDefault="00C75A45" w:rsidP="00517173">
      <w:pPr>
        <w:pStyle w:val="l-L1"/>
        <w:keepNext w:val="0"/>
        <w:numPr>
          <w:ilvl w:val="0"/>
          <w:numId w:val="0"/>
        </w:numPr>
        <w:spacing w:before="0" w:after="0"/>
        <w:jc w:val="both"/>
        <w:rPr>
          <w:rStyle w:val="l-L2Char"/>
          <w:rFonts w:cs="Arial"/>
          <w:b w:val="0"/>
          <w:szCs w:val="22"/>
          <w:u w:val="none"/>
        </w:rPr>
      </w:pPr>
      <w:r w:rsidRPr="004D5F78">
        <w:rPr>
          <w:rStyle w:val="l-L2Char"/>
          <w:rFonts w:cs="Arial"/>
          <w:b w:val="0"/>
          <w:szCs w:val="22"/>
          <w:u w:val="none"/>
        </w:rPr>
        <w:t xml:space="preserve">            Konečný příjemce: </w:t>
      </w:r>
      <w:r w:rsidR="00C023FE" w:rsidRPr="00C023FE">
        <w:rPr>
          <w:rStyle w:val="l-L2Char"/>
          <w:rFonts w:cs="Arial"/>
          <w:b w:val="0"/>
          <w:szCs w:val="22"/>
          <w:u w:val="none"/>
        </w:rPr>
        <w:t xml:space="preserve">Státní pozemkový úřad, Pobočka Liberec, U Nisy 745/6a, </w:t>
      </w:r>
    </w:p>
    <w:p w14:paraId="0B70AB57" w14:textId="302AC173" w:rsidR="00F240C7" w:rsidRPr="004D5F78" w:rsidRDefault="00C023FE" w:rsidP="00517173">
      <w:pPr>
        <w:pStyle w:val="l-L1"/>
        <w:keepNext w:val="0"/>
        <w:numPr>
          <w:ilvl w:val="0"/>
          <w:numId w:val="0"/>
        </w:numPr>
        <w:spacing w:before="0" w:after="0"/>
        <w:jc w:val="both"/>
        <w:rPr>
          <w:rStyle w:val="l-L2Char"/>
          <w:rFonts w:cs="Arial"/>
          <w:b w:val="0"/>
          <w:szCs w:val="22"/>
          <w:u w:val="none"/>
        </w:rPr>
      </w:pPr>
      <w:r>
        <w:rPr>
          <w:rStyle w:val="l-L2Char"/>
          <w:rFonts w:cs="Arial"/>
          <w:b w:val="0"/>
          <w:szCs w:val="22"/>
          <w:u w:val="none"/>
        </w:rPr>
        <w:t xml:space="preserve">            </w:t>
      </w:r>
      <w:r w:rsidRPr="00C023FE">
        <w:rPr>
          <w:rStyle w:val="l-L2Char"/>
          <w:rFonts w:cs="Arial"/>
          <w:b w:val="0"/>
          <w:szCs w:val="22"/>
          <w:u w:val="none"/>
        </w:rPr>
        <w:t xml:space="preserve">460 57 </w:t>
      </w:r>
      <w:r>
        <w:rPr>
          <w:rStyle w:val="l-L2Char"/>
          <w:rFonts w:cs="Arial"/>
          <w:b w:val="0"/>
          <w:szCs w:val="22"/>
          <w:u w:val="none"/>
        </w:rPr>
        <w:t xml:space="preserve">   </w:t>
      </w:r>
      <w:r w:rsidRPr="00C023FE">
        <w:rPr>
          <w:rStyle w:val="l-L2Char"/>
          <w:rFonts w:cs="Arial"/>
          <w:b w:val="0"/>
          <w:szCs w:val="22"/>
          <w:u w:val="none"/>
        </w:rPr>
        <w:t>Liberec</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6E22AEBF"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3F2796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C023FE">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C023FE">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Čl.I</w:t>
      </w:r>
      <w:r w:rsidR="00E64D8D" w:rsidRPr="004D5F78">
        <w:rPr>
          <w:rStyle w:val="l-L2Char"/>
          <w:rFonts w:cs="Arial"/>
          <w:b w:val="0"/>
          <w:szCs w:val="22"/>
          <w:u w:val="none"/>
        </w:rPr>
        <w:t>, Čl.II</w:t>
      </w:r>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17173">
      <w:pPr>
        <w:pStyle w:val="l-L1"/>
        <w:spacing w:after="12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517173">
      <w:pPr>
        <w:pStyle w:val="l-L1"/>
        <w:numPr>
          <w:ilvl w:val="0"/>
          <w:numId w:val="0"/>
        </w:numPr>
        <w:spacing w:before="0" w:after="120"/>
        <w:rPr>
          <w:rFonts w:ascii="Arial" w:hAnsi="Arial" w:cs="Arial"/>
          <w:szCs w:val="22"/>
        </w:rPr>
      </w:pPr>
      <w:r w:rsidRPr="00843160">
        <w:rPr>
          <w:rFonts w:ascii="Arial" w:hAnsi="Arial" w:cs="Arial"/>
          <w:szCs w:val="22"/>
        </w:rPr>
        <w:t>Pojištění zhotovitele</w:t>
      </w:r>
    </w:p>
    <w:p w14:paraId="577F0E96" w14:textId="2BDCCA3D" w:rsidR="00712A60" w:rsidRPr="00674417" w:rsidRDefault="00674417" w:rsidP="00674417">
      <w:pPr>
        <w:spacing w:after="200" w:line="276" w:lineRule="auto"/>
        <w:ind w:left="705" w:hanging="705"/>
        <w:jc w:val="both"/>
        <w:rPr>
          <w:rFonts w:cs="Arial"/>
          <w:szCs w:val="22"/>
          <w:highlight w:val="green"/>
        </w:rPr>
      </w:pPr>
      <w:bookmarkStart w:id="6"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023FE" w:rsidRPr="00A252F5">
        <w:rPr>
          <w:rFonts w:cs="Arial"/>
          <w:szCs w:val="22"/>
        </w:rPr>
        <w:t>90 % celkové ceny díla (bez</w:t>
      </w:r>
      <w:r w:rsidR="00C023FE">
        <w:rPr>
          <w:rFonts w:cs="Arial"/>
          <w:szCs w:val="22"/>
        </w:rPr>
        <w:t> </w:t>
      </w:r>
      <w:r w:rsidR="00C023FE" w:rsidRPr="00A252F5">
        <w:rPr>
          <w:rFonts w:cs="Arial"/>
          <w:szCs w:val="22"/>
        </w:rPr>
        <w:t>DPH)</w:t>
      </w:r>
      <w:r w:rsidR="00AA7B31">
        <w:rPr>
          <w:rFonts w:cs="Arial"/>
          <w:szCs w:val="22"/>
        </w:rPr>
        <w:t xml:space="preserve">, tj. </w:t>
      </w:r>
      <w:r w:rsidR="00BB1545" w:rsidRPr="00674417">
        <w:rPr>
          <w:rFonts w:cs="Arial"/>
          <w:b/>
          <w:szCs w:val="22"/>
          <w:highlight w:val="yellow"/>
        </w:rPr>
        <w:t>[DOPLNIT]</w:t>
      </w:r>
      <w:r w:rsidR="00AA7B31">
        <w:rPr>
          <w:rFonts w:cs="Arial"/>
          <w:b/>
          <w:szCs w:val="22"/>
          <w:highlight w:val="yellow"/>
        </w:rPr>
        <w:t xml:space="preserve"> </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 w:name="_Ref376798291"/>
      <w:r w:rsidRPr="004D5F78">
        <w:rPr>
          <w:rFonts w:ascii="Arial" w:hAnsi="Arial" w:cs="Arial"/>
          <w:szCs w:val="22"/>
        </w:rPr>
        <w:t>Licenční ujednání</w:t>
      </w:r>
      <w:bookmarkEnd w:id="7"/>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679D96E"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AA7B31">
        <w:rPr>
          <w:rStyle w:val="l-L2Char"/>
          <w:rFonts w:cs="Arial"/>
          <w:b w:val="0"/>
          <w:szCs w:val="22"/>
          <w:u w:val="none"/>
        </w:rPr>
        <w:t xml:space="preserve"> v</w:t>
      </w:r>
      <w:r w:rsidR="00F15883" w:rsidRPr="004D5F78">
        <w:rPr>
          <w:rStyle w:val="l-L2Char"/>
          <w:rFonts w:cs="Arial"/>
          <w:b w:val="0"/>
          <w:szCs w:val="22"/>
          <w:u w:val="none"/>
        </w:rPr>
        <w:t xml:space="preserve">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rPr>
          <w:rStyle w:val="l-L2Char"/>
          <w:rFonts w:cs="Arial"/>
          <w:b w:val="0"/>
          <w:szCs w:val="22"/>
          <w:u w:val="none"/>
        </w:rPr>
        <w:t xml:space="preserve">bez DPH dle čl. V odst. </w:t>
      </w:r>
      <w:proofErr w:type="gramStart"/>
      <w:r w:rsidR="00261C1F" w:rsidRPr="00261C1F">
        <w:rPr>
          <w:rStyle w:val="l-L2Char"/>
          <w:rFonts w:cs="Arial"/>
          <w:b w:val="0"/>
          <w:szCs w:val="22"/>
          <w:u w:val="none"/>
        </w:rPr>
        <w:t>5.2</w:t>
      </w:r>
      <w:r w:rsidR="00AA7B31">
        <w:rPr>
          <w:rStyle w:val="l-L2Char"/>
          <w:rFonts w:cs="Arial"/>
          <w:b w:val="0"/>
          <w:szCs w:val="22"/>
          <w:u w:val="none"/>
        </w:rPr>
        <w:t xml:space="preserve"> </w:t>
      </w:r>
      <w:r w:rsidR="00261C1F" w:rsidRPr="00261C1F">
        <w:rPr>
          <w:rStyle w:val="l-L2Char"/>
          <w:rFonts w:cs="Arial"/>
          <w:b w:val="0"/>
          <w:szCs w:val="22"/>
          <w:u w:val="none"/>
        </w:rPr>
        <w:t xml:space="preserve"> Smlouvy</w:t>
      </w:r>
      <w:proofErr w:type="gramEnd"/>
      <w:r w:rsidR="00261C1F" w:rsidRPr="00261C1F">
        <w:rPr>
          <w:rStyle w:val="l-L2Char"/>
          <w:rFonts w:cs="Arial"/>
          <w:b w:val="0"/>
          <w:szCs w:val="22"/>
          <w:u w:val="none"/>
        </w:rPr>
        <w:t xml:space="preserve">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8"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však</w:t>
      </w:r>
      <w:r w:rsidRPr="00674417">
        <w:rPr>
          <w:szCs w:val="22"/>
          <w:lang w:val="en-US"/>
        </w:rPr>
        <w:t xml:space="preserve"> 2 500 Kč</w:t>
      </w:r>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8"/>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61580478"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AD61A7">
        <w:rPr>
          <w:rStyle w:val="l-L2Char"/>
          <w:rFonts w:cs="Arial"/>
          <w:b w:val="0"/>
          <w:szCs w:val="22"/>
          <w:u w:val="none"/>
        </w:rPr>
        <w:t>p</w:t>
      </w:r>
      <w:r w:rsidR="00281157" w:rsidRPr="0053219E">
        <w:rPr>
          <w:rStyle w:val="l-L2Char"/>
          <w:rFonts w:cs="Arial"/>
          <w:b w:val="0"/>
          <w:szCs w:val="22"/>
          <w:u w:val="none"/>
        </w:rPr>
        <w:t>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2DDE569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r w:rsidR="009E7FEE" w:rsidRPr="004D5F78">
        <w:rPr>
          <w:rStyle w:val="l-L2Char"/>
          <w:rFonts w:cs="Arial"/>
          <w:b w:val="0"/>
          <w:szCs w:val="22"/>
          <w:u w:val="none"/>
        </w:rPr>
        <w:t xml:space="preserve">smlouvy </w:t>
      </w:r>
      <w:r w:rsidR="009E7FEE">
        <w:rPr>
          <w:rStyle w:val="l-L2Char"/>
          <w:rFonts w:cs="Arial"/>
          <w:b w:val="0"/>
          <w:szCs w:val="22"/>
          <w:u w:val="none"/>
        </w:rPr>
        <w:t xml:space="preserve">v </w:t>
      </w:r>
      <w:r w:rsidR="009E7FEE" w:rsidRPr="004D5F78">
        <w:rPr>
          <w:rStyle w:val="l-L2Char"/>
          <w:rFonts w:cs="Arial"/>
          <w:b w:val="0"/>
          <w:szCs w:val="22"/>
          <w:u w:val="none"/>
        </w:rPr>
        <w:t>případě</w:t>
      </w:r>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9"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0" w:name="_Hlk72742281"/>
      <w:bookmarkEnd w:id="9"/>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6BB66707"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0"/>
    <w:p w14:paraId="172E9017" w14:textId="77777777" w:rsidR="00CD1317" w:rsidRPr="004D5F78" w:rsidRDefault="00CD1317" w:rsidP="00AA7B31">
      <w:pPr>
        <w:jc w:val="both"/>
        <w:rPr>
          <w:rStyle w:val="l-L2Char"/>
          <w:rFonts w:cs="Arial"/>
          <w:szCs w:val="22"/>
          <w:lang w:eastAsia="en-US"/>
        </w:rPr>
      </w:pPr>
    </w:p>
    <w:p w14:paraId="6DAE4120" w14:textId="77777777" w:rsidR="009A6087" w:rsidRDefault="009A6087" w:rsidP="00AA7B31">
      <w:pPr>
        <w:pStyle w:val="l-L1"/>
        <w:keepNext w:val="0"/>
        <w:spacing w:before="240" w:after="120" w:line="120" w:lineRule="auto"/>
        <w:ind w:left="0"/>
        <w:rPr>
          <w:rFonts w:ascii="Arial" w:hAnsi="Arial" w:cs="Arial"/>
          <w:szCs w:val="22"/>
        </w:rPr>
      </w:pPr>
      <w:bookmarkStart w:id="12" w:name="_Hlk72140552"/>
      <w:bookmarkStart w:id="13" w:name="_Hlk71720533"/>
      <w:r>
        <w:rPr>
          <w:rFonts w:ascii="Arial" w:hAnsi="Arial" w:cs="Arial"/>
          <w:szCs w:val="22"/>
        </w:rPr>
        <w:t xml:space="preserve"> </w:t>
      </w:r>
    </w:p>
    <w:p w14:paraId="59981BDA" w14:textId="4619FA90" w:rsidR="00B63BC9" w:rsidRPr="009A6087" w:rsidRDefault="00B63BC9" w:rsidP="00AA7B31">
      <w:pPr>
        <w:pStyle w:val="l-L1"/>
        <w:keepNext w:val="0"/>
        <w:numPr>
          <w:ilvl w:val="0"/>
          <w:numId w:val="0"/>
        </w:numPr>
        <w:spacing w:before="240" w:after="120"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517173">
      <w:pPr>
        <w:pStyle w:val="Odstavecseseznamem"/>
        <w:numPr>
          <w:ilvl w:val="0"/>
          <w:numId w:val="81"/>
        </w:numPr>
        <w:spacing w:after="80"/>
        <w:ind w:left="0" w:firstLine="0"/>
        <w:jc w:val="both"/>
        <w:rPr>
          <w:rFonts w:cs="Arial"/>
          <w:szCs w:val="22"/>
        </w:rPr>
      </w:pPr>
      <w:r w:rsidRPr="007E7248">
        <w:rPr>
          <w:rFonts w:cs="Arial"/>
          <w:szCs w:val="22"/>
        </w:rPr>
        <w:t>Kontaktními osobami určenými pro poskytování součinnosti v běžném rozsahu, jsou:</w:t>
      </w:r>
    </w:p>
    <w:p w14:paraId="49CF96AF" w14:textId="59CA6B71" w:rsidR="00B63BC9" w:rsidRPr="008377B5" w:rsidRDefault="00B63BC9" w:rsidP="00517173">
      <w:pPr>
        <w:spacing w:after="80"/>
        <w:ind w:left="709" w:hanging="1"/>
        <w:jc w:val="both"/>
        <w:rPr>
          <w:rFonts w:cs="Arial"/>
          <w:szCs w:val="22"/>
        </w:rPr>
      </w:pPr>
      <w:r w:rsidRPr="008377B5">
        <w:rPr>
          <w:rFonts w:cs="Arial"/>
          <w:szCs w:val="22"/>
        </w:rPr>
        <w:t>Za objednatele:</w:t>
      </w:r>
      <w:r w:rsidR="00490D05">
        <w:rPr>
          <w:rFonts w:cs="Arial"/>
          <w:szCs w:val="22"/>
        </w:rPr>
        <w:t xml:space="preserve"> </w:t>
      </w:r>
    </w:p>
    <w:p w14:paraId="3BD49D1A" w14:textId="2DA4187A" w:rsidR="00B63BC9" w:rsidRPr="008377B5" w:rsidRDefault="00B63BC9" w:rsidP="00517173">
      <w:pPr>
        <w:spacing w:after="80"/>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490D05">
        <w:rPr>
          <w:rFonts w:cs="Arial"/>
          <w:szCs w:val="22"/>
        </w:rPr>
        <w:t>Ing. Petr Skalický</w:t>
      </w:r>
      <w:r w:rsidR="00490D05">
        <w:rPr>
          <w:rFonts w:cs="Arial"/>
          <w:szCs w:val="22"/>
        </w:rPr>
        <w:t>, odborný rada Pobočky Liberec</w:t>
      </w:r>
    </w:p>
    <w:p w14:paraId="669BCD01" w14:textId="559B8307" w:rsidR="00B63BC9" w:rsidRPr="008377B5" w:rsidRDefault="00B63BC9" w:rsidP="00517173">
      <w:pPr>
        <w:spacing w:after="80"/>
        <w:ind w:left="426" w:firstLine="282"/>
        <w:jc w:val="both"/>
        <w:rPr>
          <w:rFonts w:cs="Arial"/>
          <w:szCs w:val="22"/>
        </w:rPr>
      </w:pPr>
      <w:r w:rsidRPr="008377B5">
        <w:rPr>
          <w:rFonts w:cs="Arial"/>
          <w:szCs w:val="22"/>
        </w:rPr>
        <w:t>Tel.:</w:t>
      </w:r>
      <w:r w:rsidRPr="008377B5">
        <w:rPr>
          <w:rFonts w:cs="Arial"/>
          <w:szCs w:val="22"/>
        </w:rPr>
        <w:tab/>
      </w:r>
      <w:r w:rsidR="00490D05">
        <w:rPr>
          <w:rFonts w:cs="Arial"/>
          <w:szCs w:val="22"/>
        </w:rPr>
        <w:t>+420 602411176</w:t>
      </w:r>
    </w:p>
    <w:p w14:paraId="0214820C" w14:textId="7EED5A7F" w:rsidR="00B63BC9" w:rsidRPr="008377B5" w:rsidRDefault="00B63BC9" w:rsidP="00517173">
      <w:pPr>
        <w:spacing w:after="80"/>
        <w:ind w:left="426" w:firstLine="282"/>
        <w:jc w:val="both"/>
        <w:rPr>
          <w:rFonts w:cs="Arial"/>
          <w:szCs w:val="22"/>
        </w:rPr>
      </w:pPr>
      <w:r w:rsidRPr="008377B5">
        <w:rPr>
          <w:rFonts w:cs="Arial"/>
          <w:szCs w:val="22"/>
        </w:rPr>
        <w:t>E-mail:</w:t>
      </w:r>
      <w:r w:rsidRPr="008377B5">
        <w:rPr>
          <w:rFonts w:cs="Arial"/>
          <w:szCs w:val="22"/>
        </w:rPr>
        <w:tab/>
        <w:t xml:space="preserve"> </w:t>
      </w:r>
      <w:r w:rsidR="00490D05">
        <w:rPr>
          <w:rFonts w:cs="Arial"/>
          <w:szCs w:val="22"/>
        </w:rPr>
        <w:t>p.skalicky@spu.cr.cz</w:t>
      </w:r>
    </w:p>
    <w:p w14:paraId="67CDC24D" w14:textId="77777777" w:rsidR="00B63BC9" w:rsidRPr="008377B5" w:rsidRDefault="00B63BC9" w:rsidP="00517173">
      <w:pPr>
        <w:spacing w:after="8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01C4C0F7" w:rsidR="00B63BC9" w:rsidRPr="008377B5" w:rsidRDefault="00B63BC9" w:rsidP="00517173">
      <w:pPr>
        <w:spacing w:after="8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C55551">
        <w:rPr>
          <w:rFonts w:cs="Arial"/>
          <w:szCs w:val="22"/>
        </w:rPr>
        <w:t xml:space="preserve"> </w:t>
      </w:r>
      <w:r w:rsidR="00C55551" w:rsidRPr="00674417">
        <w:rPr>
          <w:rFonts w:cs="Arial"/>
          <w:b/>
          <w:szCs w:val="22"/>
          <w:highlight w:val="yellow"/>
        </w:rPr>
        <w:t>[DOPLNIT]</w:t>
      </w:r>
      <w:r w:rsidRPr="008377B5">
        <w:rPr>
          <w:rFonts w:cs="Arial"/>
          <w:szCs w:val="22"/>
        </w:rPr>
        <w:tab/>
      </w:r>
    </w:p>
    <w:p w14:paraId="3A4D488C" w14:textId="65ACF14F" w:rsidR="00B63BC9" w:rsidRPr="008377B5" w:rsidRDefault="00B63BC9" w:rsidP="00517173">
      <w:pPr>
        <w:spacing w:after="80"/>
        <w:ind w:left="426" w:firstLine="282"/>
        <w:jc w:val="both"/>
        <w:rPr>
          <w:rFonts w:cs="Arial"/>
          <w:szCs w:val="22"/>
        </w:rPr>
      </w:pPr>
      <w:r w:rsidRPr="008377B5">
        <w:rPr>
          <w:rFonts w:cs="Arial"/>
          <w:szCs w:val="22"/>
        </w:rPr>
        <w:t>Tel.:</w:t>
      </w:r>
      <w:r w:rsidRPr="008377B5">
        <w:rPr>
          <w:rFonts w:cs="Arial"/>
          <w:szCs w:val="22"/>
        </w:rPr>
        <w:tab/>
      </w:r>
      <w:r w:rsidR="00C55551" w:rsidRPr="00674417">
        <w:rPr>
          <w:rFonts w:cs="Arial"/>
          <w:b/>
          <w:szCs w:val="22"/>
          <w:highlight w:val="yellow"/>
        </w:rPr>
        <w:t>[DOPLNIT]</w:t>
      </w:r>
    </w:p>
    <w:p w14:paraId="063E2D8B" w14:textId="2B91D192" w:rsidR="003F0EEF" w:rsidRDefault="00B63BC9" w:rsidP="00517173">
      <w:pPr>
        <w:spacing w:after="80"/>
        <w:ind w:left="426" w:firstLine="282"/>
        <w:jc w:val="both"/>
      </w:pPr>
      <w:r w:rsidRPr="008377B5">
        <w:rPr>
          <w:rFonts w:cs="Arial"/>
          <w:szCs w:val="22"/>
        </w:rPr>
        <w:t>E-mail:</w:t>
      </w:r>
      <w:r w:rsidRPr="008377B5">
        <w:rPr>
          <w:rFonts w:cs="Arial"/>
          <w:szCs w:val="22"/>
        </w:rPr>
        <w:tab/>
      </w:r>
      <w:bookmarkEnd w:id="12"/>
      <w:r w:rsidR="00C55551" w:rsidRPr="00674417">
        <w:rPr>
          <w:rFonts w:cs="Arial"/>
          <w:b/>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3"/>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 dne………</w:t>
            </w:r>
          </w:p>
        </w:tc>
      </w:tr>
      <w:tr w:rsidR="00CB55C3" w:rsidRPr="004D5F78" w14:paraId="5EE2D6A9" w14:textId="77777777" w:rsidTr="0077220E">
        <w:tc>
          <w:tcPr>
            <w:tcW w:w="4606" w:type="dxa"/>
            <w:shd w:val="clear" w:color="auto" w:fill="auto"/>
          </w:tcPr>
          <w:p w14:paraId="48F3369E" w14:textId="77777777" w:rsidR="00CB55C3" w:rsidRDefault="00CB55C3" w:rsidP="00AE2DC5">
            <w:pPr>
              <w:spacing w:line="288" w:lineRule="auto"/>
              <w:jc w:val="center"/>
              <w:rPr>
                <w:rFonts w:cs="Arial"/>
                <w:szCs w:val="22"/>
              </w:rPr>
            </w:pPr>
          </w:p>
          <w:p w14:paraId="01F95531" w14:textId="77777777" w:rsidR="00AA7B31" w:rsidRDefault="00AA7B31" w:rsidP="00AE2DC5">
            <w:pPr>
              <w:spacing w:line="288" w:lineRule="auto"/>
              <w:jc w:val="center"/>
            </w:pPr>
          </w:p>
          <w:p w14:paraId="7604D749" w14:textId="77777777" w:rsidR="00AA7B31" w:rsidRDefault="00AA7B31" w:rsidP="00AE2DC5">
            <w:pPr>
              <w:spacing w:line="288" w:lineRule="auto"/>
              <w:jc w:val="center"/>
            </w:pPr>
          </w:p>
          <w:p w14:paraId="335A0718" w14:textId="5545E8E7" w:rsidR="00AA7B31" w:rsidRPr="004D5F78" w:rsidRDefault="00AA7B31"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517173">
      <w:pP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632A53BB" w:rsidR="006152B5" w:rsidRPr="004D5F78" w:rsidRDefault="00152458" w:rsidP="00517173">
      <w:pPr>
        <w:pStyle w:val="Nadpis1"/>
        <w:keepNext w:val="0"/>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52226EBE"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C1B6DE1" w14:textId="77777777" w:rsidR="000B1697" w:rsidRDefault="000B1697" w:rsidP="000B1697">
      <w:pPr>
        <w:pStyle w:val="TSlneksmlouvy"/>
        <w:keepNext w:val="0"/>
        <w:numPr>
          <w:ilvl w:val="2"/>
          <w:numId w:val="60"/>
        </w:numPr>
        <w:spacing w:before="120" w:after="120" w:line="288" w:lineRule="auto"/>
        <w:jc w:val="both"/>
        <w:rPr>
          <w:rFonts w:cs="Arial"/>
          <w:b w:val="0"/>
          <w:szCs w:val="22"/>
          <w:u w:val="none"/>
        </w:rPr>
      </w:pPr>
      <w:r>
        <w:rPr>
          <w:rFonts w:cs="Arial"/>
          <w:b w:val="0"/>
          <w:szCs w:val="22"/>
          <w:u w:val="none"/>
        </w:rPr>
        <w:t>Součástí díla bude vypracování posudku o potřebě provádění technickobezpečnostního dohledu (TBD) dle § 61 zákona č. 254/2001 Sb., vodní zákon.</w:t>
      </w:r>
    </w:p>
    <w:p w14:paraId="43535C41" w14:textId="77777777" w:rsidR="000B1697" w:rsidRDefault="000B1697" w:rsidP="000B1697">
      <w:pPr>
        <w:pStyle w:val="TSlneksmlouvy"/>
        <w:keepNext w:val="0"/>
        <w:numPr>
          <w:ilvl w:val="2"/>
          <w:numId w:val="60"/>
        </w:numPr>
        <w:spacing w:before="120" w:after="120" w:line="288" w:lineRule="auto"/>
        <w:jc w:val="both"/>
        <w:rPr>
          <w:rFonts w:cs="Arial"/>
          <w:b w:val="0"/>
          <w:szCs w:val="22"/>
          <w:u w:val="none"/>
        </w:rPr>
      </w:pPr>
      <w:r>
        <w:rPr>
          <w:rFonts w:cs="Arial"/>
          <w:b w:val="0"/>
          <w:szCs w:val="22"/>
          <w:u w:val="none"/>
        </w:rPr>
        <w:t>Součástí díla bude posudek pro zařazení vodních děl do kategorií.</w:t>
      </w:r>
    </w:p>
    <w:p w14:paraId="0DFF4618" w14:textId="467C3414" w:rsidR="000B1697" w:rsidRPr="000B1697" w:rsidRDefault="000B1697" w:rsidP="000B1697">
      <w:pPr>
        <w:pStyle w:val="TSlneksmlouvy"/>
        <w:keepNext w:val="0"/>
        <w:numPr>
          <w:ilvl w:val="2"/>
          <w:numId w:val="60"/>
        </w:numPr>
        <w:spacing w:before="120" w:after="120" w:line="288" w:lineRule="auto"/>
        <w:jc w:val="both"/>
        <w:rPr>
          <w:rStyle w:val="l-L2Char"/>
          <w:rFonts w:cs="Arial"/>
          <w:b w:val="0"/>
          <w:szCs w:val="22"/>
          <w:u w:val="none"/>
        </w:rPr>
      </w:pPr>
      <w:r>
        <w:rPr>
          <w:rFonts w:cs="Arial"/>
          <w:b w:val="0"/>
          <w:szCs w:val="22"/>
          <w:u w:val="none"/>
        </w:rPr>
        <w:t>Součástí díla bude v případě potřeby vypracování biologického hodnocení lokality pro stavbu vodních nádrží dle § 67 zákona č. 114/1992 Sb., o ochraně přírody a krajiny.</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22AFB03D"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AA7B31">
        <w:rPr>
          <w:rStyle w:val="l-L2Char"/>
          <w:rFonts w:cs="Arial"/>
          <w:szCs w:val="22"/>
        </w:rPr>
        <w:t>5</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517173" w:rsidRDefault="00B94443" w:rsidP="00D44836">
      <w:pPr>
        <w:pStyle w:val="l-L1"/>
        <w:keepNext w:val="0"/>
        <w:numPr>
          <w:ilvl w:val="0"/>
          <w:numId w:val="0"/>
        </w:numPr>
        <w:spacing w:before="120" w:after="120"/>
        <w:ind w:left="1276"/>
        <w:jc w:val="both"/>
        <w:rPr>
          <w:rStyle w:val="l-L2Char"/>
          <w:rFonts w:cs="Arial"/>
          <w:b w:val="0"/>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w:t>
      </w:r>
      <w:r w:rsidRPr="00517173">
        <w:rPr>
          <w:rStyle w:val="l-L2Char"/>
          <w:rFonts w:cs="Arial"/>
          <w:b w:val="0"/>
          <w:szCs w:val="22"/>
          <w:u w:val="none"/>
        </w:rPr>
        <w:t xml:space="preserve">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021061E6" w:rsidR="00F829EA" w:rsidRPr="00517173" w:rsidRDefault="00517173" w:rsidP="00510D36">
      <w:pPr>
        <w:pStyle w:val="l-L1"/>
        <w:keepNext w:val="0"/>
        <w:numPr>
          <w:ilvl w:val="0"/>
          <w:numId w:val="86"/>
        </w:numPr>
        <w:spacing w:before="80" w:after="80"/>
        <w:ind w:left="1928" w:hanging="357"/>
        <w:jc w:val="left"/>
        <w:rPr>
          <w:rFonts w:ascii="Arial" w:hAnsi="Arial" w:cs="Arial"/>
          <w:b w:val="0"/>
          <w:bCs/>
          <w:szCs w:val="22"/>
          <w:u w:val="none"/>
        </w:rPr>
      </w:pPr>
      <w:r w:rsidRPr="00517173">
        <w:rPr>
          <w:rFonts w:ascii="Arial" w:hAnsi="Arial" w:cs="Arial"/>
          <w:b w:val="0"/>
          <w:bCs/>
          <w:szCs w:val="22"/>
          <w:u w:val="none"/>
          <w:lang w:val="en-US"/>
        </w:rPr>
        <w:t>Komplexní pozemkové úpravy v k.ú. Boleslav a v části k.ú. Černousy</w:t>
      </w:r>
    </w:p>
    <w:p w14:paraId="49886016" w14:textId="1DA43140" w:rsidR="00517173" w:rsidRPr="00517173" w:rsidRDefault="00517173" w:rsidP="00510D36">
      <w:pPr>
        <w:pStyle w:val="l-L1"/>
        <w:keepNext w:val="0"/>
        <w:numPr>
          <w:ilvl w:val="0"/>
          <w:numId w:val="86"/>
        </w:numPr>
        <w:spacing w:before="80" w:after="80"/>
        <w:ind w:left="1928" w:hanging="357"/>
        <w:jc w:val="left"/>
        <w:rPr>
          <w:rStyle w:val="l-L2Char"/>
          <w:rFonts w:cs="Arial"/>
          <w:b w:val="0"/>
          <w:bCs/>
          <w:szCs w:val="22"/>
          <w:u w:val="none"/>
        </w:rPr>
      </w:pPr>
      <w:r>
        <w:rPr>
          <w:rFonts w:ascii="Arial" w:hAnsi="Arial" w:cs="Arial"/>
          <w:b w:val="0"/>
          <w:bCs/>
          <w:szCs w:val="22"/>
          <w:u w:val="none"/>
          <w:lang w:val="en-US"/>
        </w:rPr>
        <w:t>Inženýrsko geologický průzkum (2018)</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7D1C9C7F" w:rsidR="00F829EA" w:rsidRPr="00517173" w:rsidRDefault="00517173" w:rsidP="00E172A7">
      <w:pPr>
        <w:pStyle w:val="l-L1"/>
        <w:keepNext w:val="0"/>
        <w:numPr>
          <w:ilvl w:val="0"/>
          <w:numId w:val="0"/>
        </w:numPr>
        <w:spacing w:before="120" w:after="120"/>
        <w:ind w:left="1212"/>
        <w:jc w:val="left"/>
        <w:rPr>
          <w:rStyle w:val="l-L2Char"/>
          <w:rFonts w:cs="Arial"/>
          <w:b w:val="0"/>
          <w:bCs/>
          <w:szCs w:val="22"/>
          <w:u w:val="none"/>
        </w:rPr>
      </w:pPr>
      <w:r w:rsidRPr="00517173">
        <w:rPr>
          <w:rStyle w:val="l-L2Char"/>
          <w:rFonts w:cs="Arial"/>
          <w:b w:val="0"/>
          <w:bCs/>
          <w:szCs w:val="22"/>
          <w:u w:val="none"/>
        </w:rPr>
        <w:t>Plán společných zařízení v rámci komplexních pozemkových úprav v k.ú. Boleslav a v části k.ú. Černousy</w:t>
      </w: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585839DA" w:rsidR="005A32C1" w:rsidRDefault="0006284B" w:rsidP="0006284B">
      <w:pPr>
        <w:spacing w:after="0" w:line="240" w:lineRule="auto"/>
        <w:rPr>
          <w:rFonts w:cs="Arial"/>
          <w:b/>
          <w:szCs w:val="22"/>
        </w:rPr>
      </w:pPr>
      <w:r>
        <w:rPr>
          <w:rFonts w:cs="Arial"/>
          <w:b/>
          <w:szCs w:val="22"/>
        </w:rPr>
        <w:br w:type="page"/>
      </w:r>
    </w:p>
    <w:p w14:paraId="4BB04D24" w14:textId="458C3BF7" w:rsidR="00510D36" w:rsidRDefault="00510D36" w:rsidP="0006284B">
      <w:pPr>
        <w:spacing w:after="0" w:line="240" w:lineRule="auto"/>
        <w:rPr>
          <w:rFonts w:cs="Arial"/>
          <w:b/>
          <w:szCs w:val="22"/>
        </w:rPr>
      </w:pPr>
    </w:p>
    <w:p w14:paraId="2FE53D10" w14:textId="77777777" w:rsidR="00510D36" w:rsidRPr="0006284B" w:rsidRDefault="00510D36"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A. Podklady</w:t>
            </w:r>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r w:rsidRPr="002F6773">
              <w:rPr>
                <w:rFonts w:cs="Arial"/>
                <w:b/>
                <w:spacing w:val="-1"/>
              </w:rPr>
              <w:t>průzkumu:</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r w:rsidRPr="004D5F78">
              <w:rPr>
                <w:rFonts w:cs="Arial"/>
                <w:spacing w:val="-1"/>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r w:rsidRPr="004D5F78">
              <w:rPr>
                <w:rFonts w:cs="Arial"/>
                <w:spacing w:val="-1"/>
              </w:rPr>
              <w:t>Trasa</w:t>
            </w:r>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r w:rsidRPr="004D5F78">
              <w:rPr>
                <w:rFonts w:cs="Arial"/>
                <w:spacing w:val="-1"/>
              </w:rPr>
              <w:t>Objekty</w:t>
            </w:r>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r w:rsidRPr="004D5F78">
              <w:rPr>
                <w:rFonts w:cs="Arial"/>
                <w:spacing w:val="-1"/>
              </w:rPr>
              <w:t>Zemníky</w:t>
            </w:r>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r w:rsidRPr="004D5F78">
              <w:rPr>
                <w:rFonts w:cs="Arial"/>
                <w:spacing w:val="-1"/>
              </w:rPr>
              <w:t>Podélný</w:t>
            </w:r>
            <w:r w:rsidRPr="004D5F78">
              <w:rPr>
                <w:rFonts w:cs="Arial"/>
                <w:spacing w:val="1"/>
              </w:rPr>
              <w:t xml:space="preserve"> </w:t>
            </w:r>
            <w:r w:rsidRPr="004D5F78">
              <w:rPr>
                <w:rFonts w:cs="Arial"/>
                <w:spacing w:val="-1"/>
              </w:rPr>
              <w:t>profil</w:t>
            </w:r>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r w:rsidRPr="002F6773">
              <w:rPr>
                <w:rFonts w:cs="Arial"/>
                <w:spacing w:val="-1"/>
              </w:rPr>
              <w:t>Požadované</w:t>
            </w:r>
            <w:r w:rsidRPr="002F6773">
              <w:rPr>
                <w:rFonts w:cs="Arial"/>
                <w:spacing w:val="1"/>
              </w:rPr>
              <w:t xml:space="preserve"> </w:t>
            </w:r>
            <w:r w:rsidRPr="002F6773">
              <w:rPr>
                <w:rFonts w:cs="Arial"/>
                <w:spacing w:val="-1"/>
              </w:rPr>
              <w:t>počty průzkumných sond</w:t>
            </w:r>
            <w:r w:rsidRPr="002F6773">
              <w:rPr>
                <w:rFonts w:cs="Arial"/>
                <w:spacing w:val="1"/>
              </w:rPr>
              <w:t xml:space="preserve"> </w:t>
            </w:r>
            <w:r w:rsidRPr="002F6773">
              <w:rPr>
                <w:rFonts w:cs="Arial"/>
                <w:spacing w:val="-2"/>
              </w:rPr>
              <w:t>pro</w:t>
            </w:r>
            <w:r w:rsidRPr="002F6773">
              <w:rPr>
                <w:rFonts w:cs="Arial"/>
                <w:spacing w:val="1"/>
              </w:rPr>
              <w:t xml:space="preserve"> </w:t>
            </w:r>
            <w:r w:rsidRPr="002F6773">
              <w:rPr>
                <w:rFonts w:cs="Arial"/>
                <w:spacing w:val="-1"/>
              </w:rPr>
              <w:t>podrobný</w:t>
            </w:r>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r w:rsidRPr="004D5F78">
              <w:rPr>
                <w:rFonts w:cs="Arial"/>
                <w:spacing w:val="-1"/>
              </w:rPr>
              <w:t>Geotechnické</w:t>
            </w:r>
            <w:r w:rsidRPr="004D5F78">
              <w:rPr>
                <w:rFonts w:cs="Arial"/>
                <w:spacing w:val="1"/>
              </w:rPr>
              <w:t xml:space="preserve"> </w:t>
            </w:r>
            <w:r w:rsidRPr="004D5F78">
              <w:rPr>
                <w:rFonts w:cs="Arial"/>
                <w:spacing w:val="-1"/>
              </w:rPr>
              <w:t>poměry</w:t>
            </w:r>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r w:rsidRPr="004D5F78">
              <w:rPr>
                <w:rFonts w:cs="Arial"/>
                <w:spacing w:val="-1"/>
              </w:rPr>
              <w:t>Jednoduché</w:t>
            </w:r>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r w:rsidRPr="004D5F78">
              <w:rPr>
                <w:rFonts w:cs="Arial"/>
                <w:spacing w:val="-1"/>
              </w:rPr>
              <w:t>Složité</w:t>
            </w:r>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r w:rsidRPr="004D5F78">
              <w:rPr>
                <w:rFonts w:cs="Arial"/>
                <w:spacing w:val="-1"/>
              </w:rPr>
              <w:t>Trasa</w:t>
            </w:r>
            <w:r w:rsidRPr="004D5F78">
              <w:rPr>
                <w:rFonts w:cs="Arial"/>
              </w:rPr>
              <w:t xml:space="preserve"> </w:t>
            </w:r>
            <w:r w:rsidRPr="004D5F78">
              <w:rPr>
                <w:rFonts w:cs="Arial"/>
                <w:spacing w:val="-1"/>
              </w:rPr>
              <w:t>–</w:t>
            </w:r>
            <w:r w:rsidR="00D44836">
              <w:rPr>
                <w:rFonts w:cs="Arial"/>
                <w:spacing w:val="-1"/>
              </w:rPr>
              <w:t xml:space="preserve"> </w:t>
            </w:r>
            <w:r w:rsidRPr="004D5F78">
              <w:rPr>
                <w:rFonts w:cs="Arial"/>
                <w:spacing w:val="-1"/>
              </w:rPr>
              <w:t>zářez</w:t>
            </w:r>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r w:rsidRPr="004D5F78">
              <w:rPr>
                <w:rFonts w:cs="Arial"/>
                <w:spacing w:val="-1"/>
              </w:rPr>
              <w:t>Trasa</w:t>
            </w:r>
            <w:r w:rsidRPr="004D5F78">
              <w:rPr>
                <w:rFonts w:cs="Arial"/>
              </w:rPr>
              <w:t xml:space="preserve"> –</w:t>
            </w:r>
            <w:r w:rsidRPr="004D5F78">
              <w:rPr>
                <w:rFonts w:cs="Arial"/>
                <w:spacing w:val="-2"/>
              </w:rPr>
              <w:t xml:space="preserve"> </w:t>
            </w:r>
            <w:r w:rsidRPr="004D5F78">
              <w:rPr>
                <w:rFonts w:cs="Arial"/>
                <w:spacing w:val="-1"/>
              </w:rPr>
              <w:t>násyp</w:t>
            </w:r>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2"/>
              </w:rPr>
              <w:t>zářezu</w:t>
            </w:r>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1"/>
              </w:rPr>
              <w:t>násypu</w:t>
            </w:r>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r w:rsidRPr="004D5F78">
              <w:rPr>
                <w:rFonts w:cs="Arial"/>
                <w:spacing w:val="-1"/>
              </w:rPr>
              <w:t>Počet</w:t>
            </w:r>
            <w:r w:rsidRPr="004D5F78">
              <w:rPr>
                <w:rFonts w:cs="Arial"/>
                <w:spacing w:val="-2"/>
              </w:rPr>
              <w:t xml:space="preserve"> </w:t>
            </w:r>
            <w:r w:rsidRPr="004D5F78">
              <w:rPr>
                <w:rFonts w:cs="Arial"/>
              </w:rPr>
              <w:t>sond</w:t>
            </w:r>
            <w:r w:rsidRPr="004D5F78">
              <w:rPr>
                <w:rFonts w:cs="Arial"/>
                <w:spacing w:val="-1"/>
              </w:rPr>
              <w:t xml:space="preserve"> </w:t>
            </w:r>
            <w:r w:rsidRPr="004D5F78">
              <w:rPr>
                <w:rFonts w:cs="Arial"/>
              </w:rPr>
              <w:t>u</w:t>
            </w:r>
            <w:r w:rsidRPr="004D5F78">
              <w:rPr>
                <w:rFonts w:cs="Arial"/>
                <w:spacing w:val="-3"/>
              </w:rPr>
              <w:t xml:space="preserve"> </w:t>
            </w:r>
            <w:r w:rsidRPr="004D5F78">
              <w:rPr>
                <w:rFonts w:cs="Arial"/>
                <w:spacing w:val="-1"/>
              </w:rPr>
              <w:t>objektů</w:t>
            </w:r>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w:t>
            </w:r>
            <w:r w:rsidR="00B00AE7" w:rsidRPr="004D5F78">
              <w:rPr>
                <w:rFonts w:cs="Arial"/>
              </w:rPr>
              <w:t xml:space="preserve"> 2</w:t>
            </w:r>
            <w:r w:rsidR="00B00AE7" w:rsidRPr="00627EE9">
              <w:rPr>
                <w:rFonts w:cs="Arial"/>
              </w:rPr>
              <w:t xml:space="preserve"> sondy na objekt</w:t>
            </w:r>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min.2-3 sondy na objekt</w:t>
            </w:r>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u</w:t>
            </w:r>
            <w:r w:rsidRPr="004D5F78">
              <w:rPr>
                <w:rFonts w:cs="Arial"/>
                <w:spacing w:val="-1"/>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4180C288" w:rsidR="00E32805" w:rsidRPr="00510D36" w:rsidRDefault="001A027C" w:rsidP="001A027C">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D. Závěrečná</w:t>
            </w:r>
            <w:r w:rsidRPr="002F6773">
              <w:rPr>
                <w:rFonts w:cs="Arial"/>
                <w:b/>
              </w:rPr>
              <w:t xml:space="preserve"> </w:t>
            </w:r>
            <w:r w:rsidRPr="002F6773">
              <w:rPr>
                <w:rFonts w:cs="Arial"/>
                <w:b/>
                <w:spacing w:val="-1"/>
              </w:rPr>
              <w:t>zpráva</w:t>
            </w:r>
            <w:r w:rsidRPr="002F6773">
              <w:rPr>
                <w:rFonts w:cs="Arial"/>
                <w:b/>
                <w:spacing w:val="-3"/>
              </w:rPr>
              <w:t xml:space="preserve"> </w:t>
            </w:r>
            <w:r w:rsidRPr="002F6773">
              <w:rPr>
                <w:rFonts w:cs="Arial"/>
                <w:b/>
              </w:rPr>
              <w:t>o</w:t>
            </w:r>
            <w:r w:rsidRPr="002F6773">
              <w:rPr>
                <w:rFonts w:cs="Arial"/>
                <w:b/>
                <w:spacing w:val="-1"/>
              </w:rPr>
              <w:t xml:space="preserve"> podrobném</w:t>
            </w:r>
            <w:r w:rsidRPr="002F6773">
              <w:rPr>
                <w:rFonts w:cs="Arial"/>
                <w:b/>
                <w:spacing w:val="1"/>
              </w:rPr>
              <w:t xml:space="preserve"> </w:t>
            </w:r>
            <w:r w:rsidRPr="002F6773">
              <w:rPr>
                <w:rFonts w:cs="Arial"/>
                <w:b/>
                <w:spacing w:val="-1"/>
              </w:rPr>
              <w:t>průzkumu</w:t>
            </w:r>
            <w:r w:rsidRPr="002F6773">
              <w:rPr>
                <w:rFonts w:cs="Arial"/>
                <w:b/>
              </w:rPr>
              <w:t xml:space="preserve"> </w:t>
            </w:r>
            <w:r w:rsidRPr="002F6773">
              <w:rPr>
                <w:rFonts w:cs="Arial"/>
                <w:b/>
                <w:spacing w:val="-1"/>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r w:rsidRPr="004D5F78">
              <w:rPr>
                <w:rFonts w:cs="Arial"/>
                <w:spacing w:val="-1"/>
              </w:rPr>
              <w:t>Shromáždění</w:t>
            </w:r>
            <w:r w:rsidRPr="004D5F78">
              <w:rPr>
                <w:rFonts w:cs="Arial"/>
                <w:spacing w:val="-2"/>
              </w:rPr>
              <w:t xml:space="preserve"> </w:t>
            </w:r>
            <w:r w:rsidRPr="004D5F78">
              <w:rPr>
                <w:rFonts w:cs="Arial"/>
              </w:rPr>
              <w:t>co</w:t>
            </w:r>
            <w:r w:rsidRPr="004D5F78">
              <w:rPr>
                <w:rFonts w:cs="Arial"/>
                <w:spacing w:val="-1"/>
              </w:rPr>
              <w:t xml:space="preserve"> nejúplnějších údajů </w:t>
            </w:r>
            <w:r w:rsidRPr="004D5F78">
              <w:rPr>
                <w:rFonts w:cs="Arial"/>
              </w:rPr>
              <w:t>o</w:t>
            </w:r>
            <w:r w:rsidRPr="004D5F78">
              <w:rPr>
                <w:rFonts w:cs="Arial"/>
                <w:spacing w:val="1"/>
              </w:rPr>
              <w:t xml:space="preserve"> </w:t>
            </w:r>
            <w:r w:rsidRPr="004D5F78">
              <w:rPr>
                <w:rFonts w:cs="Arial"/>
                <w:spacing w:val="-1"/>
              </w:rPr>
              <w:t>inženýrskogeologických</w:t>
            </w:r>
            <w:r w:rsidRPr="004D5F78">
              <w:rPr>
                <w:rFonts w:cs="Arial"/>
              </w:rPr>
              <w:t xml:space="preserve"> a</w:t>
            </w:r>
            <w:r w:rsidRPr="004D5F78">
              <w:rPr>
                <w:rFonts w:cs="Arial"/>
                <w:spacing w:val="-3"/>
              </w:rPr>
              <w:t xml:space="preserve"> </w:t>
            </w:r>
            <w:r w:rsidRPr="004D5F78">
              <w:rPr>
                <w:rFonts w:cs="Arial"/>
                <w:spacing w:val="-1"/>
              </w:rPr>
              <w:t>hydrogeologických poměrech</w:t>
            </w:r>
            <w:r w:rsidRPr="004D5F78">
              <w:rPr>
                <w:rFonts w:cs="Arial"/>
                <w:spacing w:val="5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1"/>
              </w:rPr>
              <w:t xml:space="preserve"> </w:t>
            </w:r>
            <w:r w:rsidRPr="004D5F78">
              <w:rPr>
                <w:rFonts w:cs="Arial"/>
              </w:rPr>
              <w:t xml:space="preserve">a </w:t>
            </w:r>
            <w:r w:rsidRPr="004D5F78">
              <w:rPr>
                <w:rFonts w:cs="Arial"/>
                <w:spacing w:val="-2"/>
              </w:rPr>
              <w:t>dotčeném</w:t>
            </w:r>
            <w:r w:rsidRPr="004D5F78">
              <w:rPr>
                <w:rFonts w:cs="Arial"/>
                <w:spacing w:val="-1"/>
              </w:rPr>
              <w:t xml:space="preserve"> okolí</w:t>
            </w:r>
            <w:r w:rsidRPr="004D5F78">
              <w:rPr>
                <w:rFonts w:cs="Arial"/>
              </w:rPr>
              <w:t xml:space="preserve"> </w:t>
            </w:r>
            <w:r w:rsidRPr="004D5F78">
              <w:rPr>
                <w:rFonts w:cs="Arial"/>
                <w:spacing w:val="-1"/>
              </w:rPr>
              <w:t>trasy</w:t>
            </w:r>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r w:rsidRPr="004D5F78">
              <w:rPr>
                <w:rFonts w:cs="Arial"/>
                <w:spacing w:val="-1"/>
              </w:rPr>
              <w:t>Podrobné</w:t>
            </w:r>
            <w:r w:rsidRPr="004D5F78">
              <w:rPr>
                <w:rFonts w:cs="Arial"/>
                <w:spacing w:val="1"/>
              </w:rPr>
              <w:t xml:space="preserve"> </w:t>
            </w:r>
            <w:r w:rsidRPr="004D5F78">
              <w:rPr>
                <w:rFonts w:cs="Arial"/>
                <w:spacing w:val="-1"/>
              </w:rPr>
              <w:t>stanovení</w:t>
            </w:r>
            <w:r w:rsidRPr="004D5F78">
              <w:rPr>
                <w:rFonts w:cs="Arial"/>
              </w:rPr>
              <w:t xml:space="preserve"> </w:t>
            </w:r>
            <w:r w:rsidRPr="004D5F78">
              <w:rPr>
                <w:rFonts w:cs="Arial"/>
                <w:spacing w:val="-1"/>
              </w:rPr>
              <w:t>základových</w:t>
            </w:r>
            <w:r w:rsidRPr="004D5F78">
              <w:rPr>
                <w:rFonts w:cs="Arial"/>
              </w:rPr>
              <w:t xml:space="preserve"> </w:t>
            </w:r>
            <w:r w:rsidRPr="004D5F78">
              <w:rPr>
                <w:rFonts w:cs="Arial"/>
                <w:spacing w:val="-1"/>
              </w:rPr>
              <w:t>poměrů pro založení</w:t>
            </w:r>
            <w:r w:rsidRPr="004D5F78">
              <w:rPr>
                <w:rFonts w:cs="Arial"/>
                <w:spacing w:val="-2"/>
              </w:rPr>
              <w:t xml:space="preserve"> </w:t>
            </w:r>
            <w:r w:rsidRPr="004D5F78">
              <w:rPr>
                <w:rFonts w:cs="Arial"/>
                <w:spacing w:val="-1"/>
              </w:rPr>
              <w:t>objektů</w:t>
            </w:r>
            <w:r w:rsidRPr="004D5F78">
              <w:rPr>
                <w:rFonts w:cs="Arial"/>
                <w:spacing w:val="-3"/>
              </w:rPr>
              <w:t xml:space="preserve"> </w:t>
            </w:r>
            <w:r w:rsidRPr="004D5F78">
              <w:rPr>
                <w:rFonts w:cs="Arial"/>
                <w:spacing w:val="-1"/>
              </w:rPr>
              <w:t>včetně</w:t>
            </w:r>
            <w:r w:rsidRPr="004D5F78">
              <w:rPr>
                <w:rFonts w:cs="Arial"/>
                <w:spacing w:val="-2"/>
              </w:rPr>
              <w:t xml:space="preserve"> </w:t>
            </w:r>
            <w:r w:rsidRPr="004D5F78">
              <w:rPr>
                <w:rFonts w:cs="Arial"/>
                <w:spacing w:val="-1"/>
              </w:rPr>
              <w:t>ověřených</w:t>
            </w:r>
            <w:r w:rsidRPr="004D5F78">
              <w:rPr>
                <w:rFonts w:cs="Arial"/>
                <w:spacing w:val="49"/>
              </w:rPr>
              <w:t xml:space="preserve"> </w:t>
            </w:r>
            <w:r w:rsidRPr="004D5F78">
              <w:rPr>
                <w:rFonts w:cs="Arial"/>
                <w:spacing w:val="-1"/>
              </w:rPr>
              <w:t>geomechanických</w:t>
            </w:r>
            <w:r w:rsidRPr="004D5F78">
              <w:rPr>
                <w:rFonts w:cs="Arial"/>
                <w:spacing w:val="-3"/>
              </w:rPr>
              <w:t xml:space="preserve"> </w:t>
            </w:r>
            <w:r w:rsidRPr="004D5F78">
              <w:rPr>
                <w:rFonts w:cs="Arial"/>
                <w:spacing w:val="-1"/>
              </w:rPr>
              <w:t>vlastností</w:t>
            </w:r>
            <w:r w:rsidRPr="004D5F78">
              <w:rPr>
                <w:rFonts w:cs="Arial"/>
              </w:rPr>
              <w:t xml:space="preserve"> </w:t>
            </w:r>
            <w:r w:rsidRPr="004D5F78">
              <w:rPr>
                <w:rFonts w:cs="Arial"/>
                <w:spacing w:val="-1"/>
              </w:rPr>
              <w:t>podloží</w:t>
            </w:r>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r w:rsidRPr="004D5F78">
              <w:rPr>
                <w:rFonts w:cs="Arial"/>
              </w:rPr>
              <w:t>S</w:t>
            </w:r>
            <w:r w:rsidRPr="004D5F78">
              <w:rPr>
                <w:rFonts w:cs="Arial"/>
                <w:spacing w:val="-1"/>
              </w:rPr>
              <w:t>tanovení stupně</w:t>
            </w:r>
            <w:r w:rsidRPr="004D5F78">
              <w:rPr>
                <w:rFonts w:cs="Arial"/>
                <w:spacing w:val="1"/>
              </w:rPr>
              <w:t xml:space="preserve"> </w:t>
            </w:r>
            <w:r w:rsidRPr="004D5F78">
              <w:rPr>
                <w:rFonts w:cs="Arial"/>
                <w:spacing w:val="-1"/>
              </w:rPr>
              <w:t>chemicky</w:t>
            </w:r>
            <w:r w:rsidRPr="004D5F78">
              <w:rPr>
                <w:rFonts w:cs="Arial"/>
                <w:spacing w:val="1"/>
              </w:rPr>
              <w:t xml:space="preserve"> </w:t>
            </w:r>
            <w:r w:rsidRPr="004D5F78">
              <w:rPr>
                <w:rFonts w:cs="Arial"/>
                <w:spacing w:val="-2"/>
              </w:rPr>
              <w:t>agresivního</w:t>
            </w:r>
            <w:r w:rsidRPr="004D5F78">
              <w:rPr>
                <w:rFonts w:cs="Arial"/>
                <w:spacing w:val="1"/>
              </w:rPr>
              <w:t xml:space="preserve"> </w:t>
            </w:r>
            <w:r w:rsidRPr="004D5F78">
              <w:rPr>
                <w:rFonts w:cs="Arial"/>
                <w:spacing w:val="-1"/>
              </w:rPr>
              <w:t>prostředí</w:t>
            </w:r>
            <w:r w:rsidRPr="004D5F78">
              <w:rPr>
                <w:rFonts w:cs="Arial"/>
                <w:spacing w:val="51"/>
              </w:rPr>
              <w:t xml:space="preserve"> </w:t>
            </w:r>
            <w:r w:rsidRPr="004D5F78">
              <w:rPr>
                <w:rFonts w:cs="Arial"/>
              </w:rPr>
              <w:t>v</w:t>
            </w:r>
            <w:r w:rsidRPr="004D5F78">
              <w:rPr>
                <w:rFonts w:cs="Arial"/>
                <w:spacing w:val="1"/>
              </w:rPr>
              <w:t xml:space="preserve"> </w:t>
            </w:r>
            <w:r w:rsidRPr="004D5F78">
              <w:rPr>
                <w:rFonts w:cs="Arial"/>
                <w:spacing w:val="-1"/>
              </w:rPr>
              <w:t xml:space="preserve">zeminách </w:t>
            </w:r>
            <w:r w:rsidRPr="004D5F78">
              <w:rPr>
                <w:rFonts w:cs="Arial"/>
              </w:rPr>
              <w:t xml:space="preserve">a </w:t>
            </w:r>
            <w:r w:rsidRPr="004D5F78">
              <w:rPr>
                <w:rFonts w:cs="Arial"/>
                <w:spacing w:val="-1"/>
              </w:rPr>
              <w:t>podzemní</w:t>
            </w:r>
            <w:r w:rsidRPr="004D5F78">
              <w:rPr>
                <w:rFonts w:cs="Arial"/>
              </w:rPr>
              <w:t xml:space="preserve"> </w:t>
            </w:r>
            <w:r w:rsidRPr="004D5F78">
              <w:rPr>
                <w:rFonts w:cs="Arial"/>
                <w:spacing w:val="-2"/>
              </w:rPr>
              <w:t>vodě</w:t>
            </w:r>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r w:rsidRPr="004D5F78">
              <w:rPr>
                <w:rFonts w:cs="Arial"/>
                <w:spacing w:val="-1"/>
              </w:rPr>
              <w:t xml:space="preserve">Vyšetření nepříznivých území v trase s návrhem řešení, případné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4B92A7F4" w14:textId="77777777" w:rsidR="001A027C" w:rsidRPr="004D5F78" w:rsidRDefault="001A027C" w:rsidP="00510D36">
      <w:pPr>
        <w:widowControl w:val="0"/>
        <w:spacing w:before="126" w:after="0" w:line="240" w:lineRule="auto"/>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A. Podklady</w:t>
            </w:r>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r w:rsidRPr="002F6773">
              <w:rPr>
                <w:rFonts w:cs="Arial"/>
                <w:b/>
                <w:spacing w:val="-1"/>
              </w:rPr>
              <w:t>průzkumu:</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r w:rsidRPr="004D5F78">
              <w:rPr>
                <w:rFonts w:cs="Arial"/>
                <w:spacing w:val="-1"/>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r w:rsidRPr="004D5F78">
              <w:rPr>
                <w:rFonts w:cs="Arial"/>
                <w:spacing w:val="-1"/>
              </w:rPr>
              <w:t>Hráz,</w:t>
            </w:r>
            <w:r w:rsidRPr="004D5F78">
              <w:rPr>
                <w:rFonts w:cs="Arial"/>
              </w:rPr>
              <w:t xml:space="preserve"> </w:t>
            </w:r>
            <w:r w:rsidRPr="004D5F78">
              <w:rPr>
                <w:rFonts w:cs="Arial"/>
                <w:spacing w:val="-1"/>
              </w:rPr>
              <w:t>objekty hráze</w:t>
            </w:r>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r w:rsidRPr="004D5F78">
              <w:rPr>
                <w:rFonts w:cs="Arial"/>
                <w:spacing w:val="-1"/>
              </w:rPr>
              <w:t>Zemníky</w:t>
            </w:r>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pacing w:val="-1"/>
          <w:szCs w:val="22"/>
        </w:rPr>
        <w:t>poloskalních</w:t>
      </w:r>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r w:rsidRPr="004D5F78">
        <w:rPr>
          <w:rFonts w:eastAsia="Calibri" w:cs="Arial"/>
          <w:spacing w:val="-1"/>
          <w:szCs w:val="22"/>
        </w:rPr>
        <w:t>Proctor</w:t>
      </w:r>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D. Závěrečná</w:t>
            </w:r>
            <w:r w:rsidRPr="002F6773">
              <w:rPr>
                <w:rFonts w:cs="Arial"/>
                <w:b/>
              </w:rPr>
              <w:t xml:space="preserve"> </w:t>
            </w:r>
            <w:r w:rsidRPr="002F6773">
              <w:rPr>
                <w:rFonts w:cs="Arial"/>
                <w:b/>
                <w:spacing w:val="-1"/>
              </w:rPr>
              <w:t>zpráva</w:t>
            </w:r>
            <w:r w:rsidRPr="002F6773">
              <w:rPr>
                <w:rFonts w:cs="Arial"/>
                <w:b/>
                <w:spacing w:val="-3"/>
              </w:rPr>
              <w:t xml:space="preserve"> </w:t>
            </w:r>
            <w:r w:rsidRPr="002F6773">
              <w:rPr>
                <w:rFonts w:cs="Arial"/>
                <w:b/>
              </w:rPr>
              <w:t>o</w:t>
            </w:r>
            <w:r w:rsidRPr="002F6773">
              <w:rPr>
                <w:rFonts w:cs="Arial"/>
                <w:b/>
                <w:spacing w:val="-1"/>
              </w:rPr>
              <w:t xml:space="preserve"> podrobném</w:t>
            </w:r>
            <w:r w:rsidRPr="002F6773">
              <w:rPr>
                <w:rFonts w:cs="Arial"/>
                <w:b/>
                <w:spacing w:val="1"/>
              </w:rPr>
              <w:t xml:space="preserve"> </w:t>
            </w:r>
            <w:r w:rsidRPr="002F6773">
              <w:rPr>
                <w:rFonts w:cs="Arial"/>
                <w:b/>
                <w:spacing w:val="-1"/>
              </w:rPr>
              <w:t>průzkumu</w:t>
            </w:r>
            <w:r w:rsidRPr="002F6773">
              <w:rPr>
                <w:rFonts w:cs="Arial"/>
                <w:b/>
              </w:rPr>
              <w:t xml:space="preserve"> </w:t>
            </w:r>
            <w:r w:rsidRPr="002F6773">
              <w:rPr>
                <w:rFonts w:cs="Arial"/>
                <w:b/>
                <w:spacing w:val="-1"/>
              </w:rPr>
              <w:t>obsahuje:</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r w:rsidRPr="004D5F78">
              <w:rPr>
                <w:rFonts w:cs="Arial"/>
                <w:spacing w:val="-1"/>
              </w:rPr>
              <w:t>Vyšetření</w:t>
            </w:r>
            <w:r w:rsidRPr="004D5F78">
              <w:rPr>
                <w:rFonts w:cs="Arial"/>
              </w:rPr>
              <w:t xml:space="preserve"> </w:t>
            </w:r>
            <w:r w:rsidRPr="004D5F78">
              <w:rPr>
                <w:rFonts w:cs="Arial"/>
                <w:spacing w:val="-1"/>
              </w:rPr>
              <w:t>inženýrskogeologických</w:t>
            </w:r>
            <w:r w:rsidRPr="004D5F78">
              <w:rPr>
                <w:rFonts w:cs="Arial"/>
              </w:rPr>
              <w:t xml:space="preserve"> a</w:t>
            </w:r>
            <w:r w:rsidRPr="004D5F78">
              <w:rPr>
                <w:rFonts w:cs="Arial"/>
                <w:spacing w:val="-3"/>
              </w:rPr>
              <w:t xml:space="preserve"> </w:t>
            </w:r>
            <w:r w:rsidRPr="004D5F78">
              <w:rPr>
                <w:rFonts w:cs="Arial"/>
                <w:spacing w:val="-1"/>
              </w:rPr>
              <w:t>hydrogeologických</w:t>
            </w:r>
            <w:r w:rsidRPr="004D5F78">
              <w:rPr>
                <w:rFonts w:cs="Arial"/>
              </w:rPr>
              <w:t xml:space="preserve"> </w:t>
            </w:r>
            <w:r w:rsidRPr="004D5F78">
              <w:rPr>
                <w:rFonts w:cs="Arial"/>
                <w:spacing w:val="-1"/>
              </w:rPr>
              <w:t>poměrů</w:t>
            </w:r>
            <w:r w:rsidRPr="004D5F78">
              <w:rPr>
                <w:rFonts w:cs="Arial"/>
                <w:spacing w:val="-3"/>
              </w:rPr>
              <w:t xml:space="preserve"> </w:t>
            </w:r>
            <w:r w:rsidRPr="004D5F78">
              <w:rPr>
                <w:rFonts w:cs="Arial"/>
              </w:rPr>
              <w:t>v</w:t>
            </w:r>
            <w:r w:rsidRPr="004D5F78">
              <w:rPr>
                <w:rFonts w:cs="Arial"/>
                <w:spacing w:val="1"/>
              </w:rPr>
              <w:t xml:space="preserve"> </w:t>
            </w:r>
            <w:r w:rsidRPr="004D5F78">
              <w:rPr>
                <w:rFonts w:cs="Arial"/>
                <w:spacing w:val="-1"/>
              </w:rPr>
              <w:t>podloží</w:t>
            </w:r>
            <w:r w:rsidRPr="004D5F78">
              <w:rPr>
                <w:rFonts w:cs="Arial"/>
              </w:rPr>
              <w:t xml:space="preserve"> </w:t>
            </w:r>
            <w:r w:rsidRPr="004D5F78">
              <w:rPr>
                <w:rFonts w:cs="Arial"/>
                <w:spacing w:val="-1"/>
              </w:rPr>
              <w:t>hráze</w:t>
            </w:r>
            <w:r w:rsidRPr="004D5F78">
              <w:rPr>
                <w:rFonts w:cs="Arial"/>
                <w:spacing w:val="1"/>
              </w:rPr>
              <w:t xml:space="preserve"> </w:t>
            </w:r>
            <w:r w:rsidRPr="004D5F78">
              <w:rPr>
                <w:rFonts w:cs="Arial"/>
              </w:rPr>
              <w:t>a</w:t>
            </w:r>
            <w:r w:rsidRPr="004D5F78">
              <w:rPr>
                <w:rFonts w:cs="Arial"/>
                <w:spacing w:val="-3"/>
              </w:rPr>
              <w:t xml:space="preserve"> </w:t>
            </w:r>
            <w:r w:rsidRPr="004D5F78">
              <w:rPr>
                <w:rFonts w:cs="Arial"/>
                <w:spacing w:val="-1"/>
              </w:rPr>
              <w:t>výpustního</w:t>
            </w:r>
            <w:r w:rsidRPr="004D5F78">
              <w:rPr>
                <w:rFonts w:cs="Arial"/>
                <w:spacing w:val="43"/>
              </w:rPr>
              <w:t xml:space="preserve"> </w:t>
            </w:r>
            <w:r w:rsidRPr="004D5F78">
              <w:rPr>
                <w:rFonts w:cs="Arial"/>
                <w:spacing w:val="-1"/>
              </w:rPr>
              <w:t>objektu</w:t>
            </w:r>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r w:rsidRPr="004D5F78">
              <w:rPr>
                <w:rFonts w:cs="Arial"/>
                <w:spacing w:val="-1"/>
              </w:rPr>
              <w:t>Doporučení</w:t>
            </w:r>
            <w:r w:rsidRPr="004D5F78">
              <w:rPr>
                <w:rFonts w:cs="Arial"/>
              </w:rPr>
              <w:t xml:space="preserve"> </w:t>
            </w:r>
            <w:r w:rsidRPr="004D5F78">
              <w:rPr>
                <w:rFonts w:cs="Arial"/>
                <w:spacing w:val="-1"/>
              </w:rPr>
              <w:t>založení</w:t>
            </w:r>
            <w:r w:rsidRPr="004D5F78">
              <w:rPr>
                <w:rFonts w:cs="Arial"/>
              </w:rPr>
              <w:t xml:space="preserve"> </w:t>
            </w:r>
            <w:r w:rsidRPr="004D5F78">
              <w:rPr>
                <w:rFonts w:cs="Arial"/>
                <w:spacing w:val="-1"/>
              </w:rPr>
              <w:t>hráze</w:t>
            </w:r>
            <w:r w:rsidRPr="004D5F78">
              <w:rPr>
                <w:rFonts w:cs="Arial"/>
                <w:spacing w:val="-2"/>
              </w:rPr>
              <w:t xml:space="preserve"> </w:t>
            </w:r>
            <w:r w:rsidRPr="004D5F78">
              <w:rPr>
                <w:rFonts w:cs="Arial"/>
              </w:rPr>
              <w:t>s</w:t>
            </w:r>
            <w:r w:rsidRPr="004D5F78">
              <w:rPr>
                <w:rFonts w:cs="Arial"/>
                <w:spacing w:val="1"/>
              </w:rPr>
              <w:t xml:space="preserve"> </w:t>
            </w:r>
            <w:r w:rsidRPr="004D5F78">
              <w:rPr>
                <w:rFonts w:cs="Arial"/>
                <w:spacing w:val="-1"/>
              </w:rPr>
              <w:t>ohledem na</w:t>
            </w:r>
            <w:r w:rsidRPr="004D5F78">
              <w:rPr>
                <w:rFonts w:cs="Arial"/>
              </w:rPr>
              <w:t xml:space="preserve"> </w:t>
            </w:r>
            <w:r w:rsidRPr="004D5F78">
              <w:rPr>
                <w:rFonts w:cs="Arial"/>
                <w:spacing w:val="-1"/>
              </w:rPr>
              <w:t>zavázání</w:t>
            </w:r>
            <w:r w:rsidRPr="004D5F78">
              <w:rPr>
                <w:rFonts w:cs="Arial"/>
              </w:rPr>
              <w:t xml:space="preserve"> </w:t>
            </w:r>
            <w:r w:rsidRPr="004D5F78">
              <w:rPr>
                <w:rFonts w:cs="Arial"/>
                <w:spacing w:val="-2"/>
              </w:rPr>
              <w:t>hráze</w:t>
            </w:r>
            <w:r w:rsidRPr="004D5F78">
              <w:rPr>
                <w:rFonts w:cs="Arial"/>
                <w:spacing w:val="1"/>
              </w:rPr>
              <w:t xml:space="preserve"> </w:t>
            </w:r>
            <w:r w:rsidRPr="004D5F78">
              <w:rPr>
                <w:rFonts w:cs="Arial"/>
                <w:spacing w:val="-1"/>
              </w:rPr>
              <w:t>do</w:t>
            </w:r>
            <w:r w:rsidRPr="004D5F78">
              <w:rPr>
                <w:rFonts w:cs="Arial"/>
                <w:spacing w:val="1"/>
              </w:rPr>
              <w:t xml:space="preserve"> </w:t>
            </w:r>
            <w:r w:rsidRPr="004D5F78">
              <w:rPr>
                <w:rFonts w:cs="Arial"/>
                <w:spacing w:val="-1"/>
              </w:rPr>
              <w:t>podloží,</w:t>
            </w:r>
            <w:r w:rsidRPr="004D5F78">
              <w:rPr>
                <w:rFonts w:cs="Arial"/>
                <w:spacing w:val="-2"/>
              </w:rPr>
              <w:t xml:space="preserve"> </w:t>
            </w:r>
            <w:r w:rsidRPr="004D5F78">
              <w:rPr>
                <w:rFonts w:cs="Arial"/>
                <w:spacing w:val="-1"/>
              </w:rPr>
              <w:t>propustnost</w:t>
            </w:r>
            <w:r w:rsidRPr="004D5F78">
              <w:rPr>
                <w:rFonts w:cs="Arial"/>
                <w:spacing w:val="1"/>
              </w:rPr>
              <w:t xml:space="preserve"> </w:t>
            </w:r>
            <w:r w:rsidRPr="004D5F78">
              <w:rPr>
                <w:rFonts w:cs="Arial"/>
                <w:spacing w:val="-1"/>
              </w:rPr>
              <w:t>zemin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1B66C3"/>
    <w:multiLevelType w:val="hybridMultilevel"/>
    <w:tmpl w:val="17E4EC36"/>
    <w:lvl w:ilvl="0" w:tplc="04050005">
      <w:start w:val="1"/>
      <w:numFmt w:val="bullet"/>
      <w:lvlText w:val=""/>
      <w:lvlJc w:val="left"/>
      <w:pPr>
        <w:ind w:left="1932" w:hanging="360"/>
      </w:pPr>
      <w:rPr>
        <w:rFonts w:ascii="Wingdings" w:hAnsi="Wingdings"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5"/>
  </w:num>
  <w:num w:numId="4">
    <w:abstractNumId w:val="38"/>
  </w:num>
  <w:num w:numId="5">
    <w:abstractNumId w:val="17"/>
  </w:num>
  <w:num w:numId="6">
    <w:abstractNumId w:val="18"/>
  </w:num>
  <w:num w:numId="7">
    <w:abstractNumId w:val="23"/>
  </w:num>
  <w:num w:numId="8">
    <w:abstractNumId w:val="40"/>
  </w:num>
  <w:num w:numId="9">
    <w:abstractNumId w:val="22"/>
  </w:num>
  <w:num w:numId="10">
    <w:abstractNumId w:val="48"/>
  </w:num>
  <w:num w:numId="11">
    <w:abstractNumId w:val="42"/>
  </w:num>
  <w:num w:numId="12">
    <w:abstractNumId w:val="11"/>
  </w:num>
  <w:num w:numId="13">
    <w:abstractNumId w:val="9"/>
  </w:num>
  <w:num w:numId="14">
    <w:abstractNumId w:val="28"/>
  </w:num>
  <w:num w:numId="15">
    <w:abstractNumId w:val="1"/>
  </w:num>
  <w:num w:numId="16">
    <w:abstractNumId w:val="6"/>
  </w:num>
  <w:num w:numId="17">
    <w:abstractNumId w:val="34"/>
  </w:num>
  <w:num w:numId="18">
    <w:abstractNumId w:val="43"/>
  </w:num>
  <w:num w:numId="19">
    <w:abstractNumId w:val="24"/>
  </w:num>
  <w:num w:numId="20">
    <w:abstractNumId w:val="20"/>
  </w:num>
  <w:num w:numId="21">
    <w:abstractNumId w:val="41"/>
  </w:num>
  <w:num w:numId="22">
    <w:abstractNumId w:val="45"/>
  </w:num>
  <w:num w:numId="23">
    <w:abstractNumId w:val="47"/>
  </w:num>
  <w:num w:numId="24">
    <w:abstractNumId w:val="14"/>
  </w:num>
  <w:num w:numId="25">
    <w:abstractNumId w:val="31"/>
  </w:num>
  <w:num w:numId="26">
    <w:abstractNumId w:val="44"/>
  </w:num>
  <w:num w:numId="27">
    <w:abstractNumId w:val="51"/>
  </w:num>
  <w:num w:numId="28">
    <w:abstractNumId w:val="25"/>
  </w:num>
  <w:num w:numId="29">
    <w:abstractNumId w:val="26"/>
  </w:num>
  <w:num w:numId="30">
    <w:abstractNumId w:val="12"/>
  </w:num>
  <w:num w:numId="31">
    <w:abstractNumId w:val="21"/>
  </w:num>
  <w:num w:numId="32">
    <w:abstractNumId w:val="30"/>
  </w:num>
  <w:num w:numId="33">
    <w:abstractNumId w:val="30"/>
  </w:num>
  <w:num w:numId="34">
    <w:abstractNumId w:val="19"/>
  </w:num>
  <w:num w:numId="35">
    <w:abstractNumId w:val="46"/>
  </w:num>
  <w:num w:numId="36">
    <w:abstractNumId w:val="16"/>
  </w:num>
  <w:num w:numId="37">
    <w:abstractNumId w:val="10"/>
  </w:num>
  <w:num w:numId="38">
    <w:abstractNumId w:val="15"/>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0"/>
  </w:num>
  <w:num w:numId="55">
    <w:abstractNumId w:val="10"/>
  </w:num>
  <w:num w:numId="56">
    <w:abstractNumId w:val="10"/>
  </w:num>
  <w:num w:numId="57">
    <w:abstractNumId w:val="10"/>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4"/>
  </w:num>
  <w:num w:numId="70">
    <w:abstractNumId w:val="10"/>
  </w:num>
  <w:num w:numId="71">
    <w:abstractNumId w:val="36"/>
  </w:num>
  <w:num w:numId="72">
    <w:abstractNumId w:val="13"/>
  </w:num>
  <w:num w:numId="73">
    <w:abstractNumId w:val="8"/>
  </w:num>
  <w:num w:numId="74">
    <w:abstractNumId w:val="7"/>
  </w:num>
  <w:num w:numId="75">
    <w:abstractNumId w:val="49"/>
  </w:num>
  <w:num w:numId="76">
    <w:abstractNumId w:val="0"/>
  </w:num>
  <w:num w:numId="77">
    <w:abstractNumId w:val="29"/>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27"/>
  </w:num>
  <w:num w:numId="81">
    <w:abstractNumId w:val="35"/>
  </w:num>
  <w:num w:numId="82">
    <w:abstractNumId w:val="37"/>
  </w:num>
  <w:num w:numId="83">
    <w:abstractNumId w:val="2"/>
  </w:num>
  <w:num w:numId="84">
    <w:abstractNumId w:val="10"/>
  </w:num>
  <w:num w:numId="85">
    <w:abstractNumId w:val="50"/>
  </w:num>
  <w:num w:numId="86">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1697"/>
    <w:rsid w:val="000B2FE7"/>
    <w:rsid w:val="000B713E"/>
    <w:rsid w:val="000B7640"/>
    <w:rsid w:val="000C1A9F"/>
    <w:rsid w:val="000C2242"/>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5A14"/>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0D05"/>
    <w:rsid w:val="00492F59"/>
    <w:rsid w:val="004932C8"/>
    <w:rsid w:val="00494455"/>
    <w:rsid w:val="004A0A7A"/>
    <w:rsid w:val="004A140C"/>
    <w:rsid w:val="004A3555"/>
    <w:rsid w:val="004A375A"/>
    <w:rsid w:val="004A652C"/>
    <w:rsid w:val="004B0AE8"/>
    <w:rsid w:val="004B0F7F"/>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1FA5"/>
    <w:rsid w:val="00502DDF"/>
    <w:rsid w:val="00505CB7"/>
    <w:rsid w:val="00506188"/>
    <w:rsid w:val="00510351"/>
    <w:rsid w:val="00510C7F"/>
    <w:rsid w:val="00510D36"/>
    <w:rsid w:val="00512499"/>
    <w:rsid w:val="00512DDF"/>
    <w:rsid w:val="00515CBE"/>
    <w:rsid w:val="00515DEA"/>
    <w:rsid w:val="00517173"/>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96A12"/>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2B0B"/>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2179"/>
    <w:rsid w:val="00816BE8"/>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E7FEE"/>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A7B31"/>
    <w:rsid w:val="00AB7CC6"/>
    <w:rsid w:val="00AC144C"/>
    <w:rsid w:val="00AC34F9"/>
    <w:rsid w:val="00AD1275"/>
    <w:rsid w:val="00AD170C"/>
    <w:rsid w:val="00AD1AA0"/>
    <w:rsid w:val="00AD1C77"/>
    <w:rsid w:val="00AD57A0"/>
    <w:rsid w:val="00AD5D34"/>
    <w:rsid w:val="00AD61A7"/>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23FE"/>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5551"/>
    <w:rsid w:val="00C567B2"/>
    <w:rsid w:val="00C60B4E"/>
    <w:rsid w:val="00C629E5"/>
    <w:rsid w:val="00C642F1"/>
    <w:rsid w:val="00C657AE"/>
    <w:rsid w:val="00C66CE6"/>
    <w:rsid w:val="00C71812"/>
    <w:rsid w:val="00C71B13"/>
    <w:rsid w:val="00C72DAB"/>
    <w:rsid w:val="00C74767"/>
    <w:rsid w:val="00C75A45"/>
    <w:rsid w:val="00C84B6E"/>
    <w:rsid w:val="00C84F97"/>
    <w:rsid w:val="00C87D28"/>
    <w:rsid w:val="00C94A47"/>
    <w:rsid w:val="00CA04E5"/>
    <w:rsid w:val="00CA082A"/>
    <w:rsid w:val="00CB55C3"/>
    <w:rsid w:val="00CB6687"/>
    <w:rsid w:val="00CB68CC"/>
    <w:rsid w:val="00CB6BAC"/>
    <w:rsid w:val="00CC04D6"/>
    <w:rsid w:val="00CC1BF4"/>
    <w:rsid w:val="00CC6E68"/>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5994</Words>
  <Characters>34775</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Starčevičová Eva Ing.</cp:lastModifiedBy>
  <cp:revision>13</cp:revision>
  <cp:lastPrinted>2019-08-15T11:56:00Z</cp:lastPrinted>
  <dcterms:created xsi:type="dcterms:W3CDTF">2022-06-01T12:36:00Z</dcterms:created>
  <dcterms:modified xsi:type="dcterms:W3CDTF">2022-06-06T14:36:00Z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